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7DD26" w14:textId="0BD2B3FD" w:rsidR="009B2248" w:rsidRPr="00514AC2" w:rsidRDefault="00514AC2" w:rsidP="00514AC2">
      <w:pPr>
        <w:adjustRightInd w:val="0"/>
        <w:jc w:val="center"/>
        <w:outlineLvl w:val="0"/>
        <w:rPr>
          <w:b/>
          <w:bCs/>
          <w:sz w:val="72"/>
          <w:szCs w:val="72"/>
          <w:lang w:eastAsia="en-GB"/>
        </w:rPr>
      </w:pPr>
      <w:r w:rsidRPr="00514AC2">
        <w:rPr>
          <w:b/>
          <w:bCs/>
          <w:sz w:val="72"/>
          <w:szCs w:val="72"/>
          <w:lang w:eastAsia="en-GB"/>
        </w:rPr>
        <w:t>Bilston Family Practice</w:t>
      </w:r>
    </w:p>
    <w:p w14:paraId="027CA99B" w14:textId="5A7793EA" w:rsidR="009B2248" w:rsidRDefault="009B2248" w:rsidP="009B2248">
      <w:pPr>
        <w:spacing w:line="240" w:lineRule="auto"/>
        <w:jc w:val="center"/>
        <w:rPr>
          <w:b/>
          <w:sz w:val="72"/>
          <w:szCs w:val="72"/>
        </w:rPr>
      </w:pPr>
      <w:r w:rsidRPr="00CD23CE">
        <w:rPr>
          <w:b/>
          <w:sz w:val="72"/>
          <w:szCs w:val="72"/>
        </w:rPr>
        <w:t>Practice Call Recording Policy</w:t>
      </w:r>
    </w:p>
    <w:p w14:paraId="38725AC4" w14:textId="1610D41E" w:rsidR="00BA5162" w:rsidRDefault="00BA5162" w:rsidP="009B2248">
      <w:pPr>
        <w:spacing w:line="240" w:lineRule="auto"/>
        <w:jc w:val="center"/>
        <w:rPr>
          <w:b/>
          <w:sz w:val="72"/>
          <w:szCs w:val="72"/>
        </w:rPr>
      </w:pPr>
    </w:p>
    <w:p w14:paraId="6AAEA4F7" w14:textId="23BA016D" w:rsidR="00BA5162" w:rsidRDefault="00BA5162" w:rsidP="00BA5162">
      <w:pPr>
        <w:rPr>
          <w:b/>
          <w:bCs/>
          <w:sz w:val="20"/>
          <w:szCs w:val="20"/>
          <w:lang w:eastAsia="en-GB"/>
        </w:rPr>
      </w:pPr>
      <w:r>
        <w:rPr>
          <w:b/>
          <w:bCs/>
          <w:sz w:val="20"/>
          <w:szCs w:val="20"/>
          <w:lang w:eastAsia="en-GB"/>
        </w:rPr>
        <w:t>Version:</w:t>
      </w:r>
      <w:r>
        <w:rPr>
          <w:b/>
          <w:bCs/>
          <w:sz w:val="20"/>
          <w:szCs w:val="20"/>
          <w:lang w:eastAsia="en-GB"/>
        </w:rPr>
        <w:tab/>
      </w:r>
      <w:r>
        <w:rPr>
          <w:b/>
          <w:bCs/>
          <w:sz w:val="20"/>
          <w:szCs w:val="20"/>
          <w:lang w:eastAsia="en-GB"/>
        </w:rPr>
        <w:tab/>
      </w:r>
      <w:r w:rsidR="00202779">
        <w:rPr>
          <w:b/>
          <w:bCs/>
          <w:sz w:val="20"/>
          <w:szCs w:val="20"/>
          <w:lang w:eastAsia="en-GB"/>
        </w:rPr>
        <w:t>2</w:t>
      </w:r>
      <w:r>
        <w:rPr>
          <w:b/>
          <w:bCs/>
          <w:sz w:val="20"/>
          <w:szCs w:val="20"/>
          <w:lang w:eastAsia="en-GB"/>
        </w:rPr>
        <w:t xml:space="preserve">.0 </w:t>
      </w:r>
    </w:p>
    <w:p w14:paraId="48FB8CC5" w14:textId="554EF66E" w:rsidR="00BA5162" w:rsidRDefault="00BA5162" w:rsidP="00BA5162">
      <w:pPr>
        <w:rPr>
          <w:b/>
          <w:bCs/>
          <w:sz w:val="20"/>
          <w:szCs w:val="20"/>
          <w:lang w:eastAsia="en-GB"/>
        </w:rPr>
      </w:pPr>
      <w:r>
        <w:rPr>
          <w:b/>
          <w:bCs/>
          <w:sz w:val="20"/>
          <w:szCs w:val="20"/>
          <w:lang w:eastAsia="en-GB"/>
        </w:rPr>
        <w:t>Date:</w:t>
      </w:r>
      <w:r>
        <w:rPr>
          <w:b/>
          <w:bCs/>
          <w:sz w:val="20"/>
          <w:szCs w:val="20"/>
          <w:lang w:eastAsia="en-GB"/>
        </w:rPr>
        <w:tab/>
      </w:r>
      <w:r>
        <w:rPr>
          <w:b/>
          <w:bCs/>
          <w:sz w:val="20"/>
          <w:szCs w:val="20"/>
          <w:lang w:eastAsia="en-GB"/>
        </w:rPr>
        <w:tab/>
      </w:r>
      <w:r w:rsidR="00202779">
        <w:rPr>
          <w:b/>
          <w:bCs/>
          <w:sz w:val="20"/>
          <w:szCs w:val="20"/>
          <w:lang w:eastAsia="en-GB"/>
        </w:rPr>
        <w:t>6</w:t>
      </w:r>
      <w:r>
        <w:rPr>
          <w:b/>
          <w:bCs/>
          <w:sz w:val="20"/>
          <w:szCs w:val="20"/>
          <w:lang w:eastAsia="en-GB"/>
        </w:rPr>
        <w:t xml:space="preserve"> April 202</w:t>
      </w:r>
      <w:r w:rsidR="00202779">
        <w:rPr>
          <w:b/>
          <w:bCs/>
          <w:sz w:val="20"/>
          <w:szCs w:val="20"/>
          <w:lang w:eastAsia="en-GB"/>
        </w:rPr>
        <w:t>1</w:t>
      </w:r>
    </w:p>
    <w:p w14:paraId="755430C3" w14:textId="77777777" w:rsidR="00BA5162" w:rsidRDefault="00BA5162" w:rsidP="00BA5162">
      <w:pPr>
        <w:rPr>
          <w:b/>
          <w:bCs/>
          <w:sz w:val="20"/>
          <w:szCs w:val="20"/>
          <w:lang w:eastAsia="en-GB"/>
        </w:rPr>
      </w:pPr>
    </w:p>
    <w:p w14:paraId="39DFA8D1" w14:textId="77777777" w:rsidR="00BA5162" w:rsidRDefault="00BA5162" w:rsidP="00BA5162">
      <w:pPr>
        <w:rPr>
          <w:b/>
          <w:bCs/>
          <w:sz w:val="20"/>
          <w:szCs w:val="20"/>
          <w:lang w:eastAsia="en-GB"/>
        </w:rPr>
      </w:pPr>
    </w:p>
    <w:p w14:paraId="545C3D0E" w14:textId="77777777" w:rsidR="00BA5162" w:rsidRDefault="00BA5162" w:rsidP="00BA5162">
      <w:pPr>
        <w:rPr>
          <w:b/>
          <w:bCs/>
          <w:sz w:val="20"/>
          <w:szCs w:val="20"/>
          <w:lang w:eastAsia="en-GB"/>
        </w:rPr>
      </w:pPr>
    </w:p>
    <w:p w14:paraId="719F27D6" w14:textId="6C4D81AF" w:rsidR="00BA5162" w:rsidRDefault="00BA5162" w:rsidP="00BA5162">
      <w:pPr>
        <w:rPr>
          <w:b/>
          <w:bCs/>
          <w:sz w:val="20"/>
          <w:szCs w:val="20"/>
          <w:lang w:eastAsia="en-GB"/>
        </w:rPr>
      </w:pPr>
      <w:r>
        <w:rPr>
          <w:b/>
          <w:bCs/>
          <w:sz w:val="20"/>
          <w:szCs w:val="20"/>
          <w:lang w:eastAsia="en-GB"/>
        </w:rPr>
        <w:t xml:space="preserve">This template is for use by Practices to Comply with the </w:t>
      </w:r>
      <w:r w:rsidR="00202779">
        <w:rPr>
          <w:b/>
          <w:bCs/>
          <w:sz w:val="20"/>
          <w:szCs w:val="20"/>
          <w:lang w:eastAsia="en-GB"/>
        </w:rPr>
        <w:t>UK GDPR</w:t>
      </w:r>
      <w:r>
        <w:rPr>
          <w:b/>
          <w:bCs/>
          <w:sz w:val="20"/>
          <w:szCs w:val="20"/>
          <w:lang w:eastAsia="en-GB"/>
        </w:rPr>
        <w:t xml:space="preserve"> requirement to have a policy regarding processing of patient data.  The template is Generic in design as PCIG Consulting have clients across the UK, local sharing arrangements and area specific sharing or processing will need to be added by the practice.</w:t>
      </w:r>
    </w:p>
    <w:p w14:paraId="01C83036" w14:textId="77777777" w:rsidR="00BA5162" w:rsidRDefault="00BA5162" w:rsidP="00BA5162">
      <w:pPr>
        <w:rPr>
          <w:b/>
          <w:bCs/>
          <w:sz w:val="20"/>
          <w:szCs w:val="20"/>
          <w:lang w:eastAsia="en-GB"/>
        </w:rPr>
      </w:pPr>
    </w:p>
    <w:p w14:paraId="77EE37A5" w14:textId="77777777" w:rsidR="00BA5162" w:rsidRDefault="00BA5162" w:rsidP="00BA5162">
      <w:pPr>
        <w:rPr>
          <w:b/>
          <w:bCs/>
          <w:sz w:val="20"/>
          <w:szCs w:val="20"/>
          <w:lang w:eastAsia="en-GB"/>
        </w:rPr>
      </w:pPr>
      <w:r>
        <w:rPr>
          <w:b/>
          <w:bCs/>
          <w:sz w:val="20"/>
          <w:szCs w:val="20"/>
          <w:lang w:eastAsia="en-GB"/>
        </w:rPr>
        <w:t>Change Control</w:t>
      </w:r>
    </w:p>
    <w:p w14:paraId="08D99F58" w14:textId="77777777" w:rsidR="00BA5162" w:rsidRDefault="00BA5162" w:rsidP="00BA5162">
      <w:pPr>
        <w:rPr>
          <w:b/>
          <w:bCs/>
          <w:sz w:val="20"/>
          <w:szCs w:val="20"/>
          <w:lang w:eastAsia="en-GB"/>
        </w:rPr>
      </w:pPr>
    </w:p>
    <w:tbl>
      <w:tblPr>
        <w:tblStyle w:val="TableGrid"/>
        <w:tblW w:w="0" w:type="auto"/>
        <w:tblLook w:val="04A0" w:firstRow="1" w:lastRow="0" w:firstColumn="1" w:lastColumn="0" w:noHBand="0" w:noVBand="1"/>
      </w:tblPr>
      <w:tblGrid>
        <w:gridCol w:w="1005"/>
        <w:gridCol w:w="684"/>
        <w:gridCol w:w="3922"/>
        <w:gridCol w:w="3405"/>
      </w:tblGrid>
      <w:tr w:rsidR="00BA5162" w14:paraId="215AE423" w14:textId="77777777" w:rsidTr="005A10C0">
        <w:tc>
          <w:tcPr>
            <w:tcW w:w="1022" w:type="dxa"/>
          </w:tcPr>
          <w:p w14:paraId="1FC2BAD4" w14:textId="77777777" w:rsidR="00BA5162" w:rsidRDefault="00BA5162" w:rsidP="005A10C0">
            <w:pPr>
              <w:rPr>
                <w:b/>
                <w:bCs/>
                <w:sz w:val="20"/>
                <w:szCs w:val="20"/>
                <w:lang w:eastAsia="en-GB"/>
              </w:rPr>
            </w:pPr>
            <w:r>
              <w:rPr>
                <w:b/>
                <w:bCs/>
                <w:sz w:val="20"/>
                <w:szCs w:val="20"/>
                <w:lang w:eastAsia="en-GB"/>
              </w:rPr>
              <w:t>Version</w:t>
            </w:r>
          </w:p>
        </w:tc>
        <w:tc>
          <w:tcPr>
            <w:tcW w:w="711" w:type="dxa"/>
          </w:tcPr>
          <w:p w14:paraId="0C8611EA" w14:textId="77777777" w:rsidR="00BA5162" w:rsidRDefault="00BA5162" w:rsidP="005A10C0">
            <w:pPr>
              <w:rPr>
                <w:b/>
                <w:bCs/>
                <w:sz w:val="20"/>
                <w:szCs w:val="20"/>
                <w:lang w:eastAsia="en-GB"/>
              </w:rPr>
            </w:pPr>
            <w:r>
              <w:rPr>
                <w:b/>
                <w:bCs/>
                <w:sz w:val="20"/>
                <w:szCs w:val="20"/>
                <w:lang w:eastAsia="en-GB"/>
              </w:rPr>
              <w:t>To</w:t>
            </w:r>
          </w:p>
        </w:tc>
        <w:tc>
          <w:tcPr>
            <w:tcW w:w="4219" w:type="dxa"/>
          </w:tcPr>
          <w:p w14:paraId="0E69E8A5" w14:textId="77777777" w:rsidR="00BA5162" w:rsidRDefault="00BA5162" w:rsidP="005A10C0">
            <w:pPr>
              <w:rPr>
                <w:b/>
                <w:bCs/>
                <w:sz w:val="20"/>
                <w:szCs w:val="20"/>
                <w:lang w:eastAsia="en-GB"/>
              </w:rPr>
            </w:pPr>
            <w:r>
              <w:rPr>
                <w:b/>
                <w:bCs/>
                <w:sz w:val="20"/>
                <w:szCs w:val="20"/>
                <w:lang w:eastAsia="en-GB"/>
              </w:rPr>
              <w:t>Change</w:t>
            </w:r>
          </w:p>
        </w:tc>
        <w:tc>
          <w:tcPr>
            <w:tcW w:w="3664" w:type="dxa"/>
          </w:tcPr>
          <w:p w14:paraId="100EC2FB" w14:textId="77777777" w:rsidR="00BA5162" w:rsidRDefault="00BA5162" w:rsidP="005A10C0">
            <w:pPr>
              <w:rPr>
                <w:b/>
                <w:bCs/>
                <w:sz w:val="20"/>
                <w:szCs w:val="20"/>
                <w:lang w:eastAsia="en-GB"/>
              </w:rPr>
            </w:pPr>
            <w:r>
              <w:rPr>
                <w:b/>
                <w:bCs/>
                <w:sz w:val="20"/>
                <w:szCs w:val="20"/>
                <w:lang w:eastAsia="en-GB"/>
              </w:rPr>
              <w:t>Date</w:t>
            </w:r>
          </w:p>
        </w:tc>
      </w:tr>
      <w:tr w:rsidR="00BA5162" w14:paraId="3AEC8BA7" w14:textId="77777777" w:rsidTr="005A10C0">
        <w:tc>
          <w:tcPr>
            <w:tcW w:w="1022" w:type="dxa"/>
          </w:tcPr>
          <w:p w14:paraId="36EEDB19" w14:textId="77777777" w:rsidR="00BA5162" w:rsidRDefault="00BA5162" w:rsidP="005A10C0">
            <w:pPr>
              <w:rPr>
                <w:b/>
                <w:bCs/>
                <w:sz w:val="20"/>
                <w:szCs w:val="20"/>
                <w:lang w:eastAsia="en-GB"/>
              </w:rPr>
            </w:pPr>
            <w:r>
              <w:rPr>
                <w:b/>
                <w:bCs/>
                <w:sz w:val="20"/>
                <w:szCs w:val="20"/>
                <w:lang w:eastAsia="en-GB"/>
              </w:rPr>
              <w:t>1</w:t>
            </w:r>
          </w:p>
        </w:tc>
        <w:tc>
          <w:tcPr>
            <w:tcW w:w="711" w:type="dxa"/>
          </w:tcPr>
          <w:p w14:paraId="04581365" w14:textId="502FDC59" w:rsidR="00BA5162" w:rsidRDefault="00BA5162" w:rsidP="005A10C0">
            <w:pPr>
              <w:rPr>
                <w:b/>
                <w:bCs/>
                <w:sz w:val="20"/>
                <w:szCs w:val="20"/>
                <w:lang w:eastAsia="en-GB"/>
              </w:rPr>
            </w:pPr>
          </w:p>
        </w:tc>
        <w:tc>
          <w:tcPr>
            <w:tcW w:w="4219" w:type="dxa"/>
          </w:tcPr>
          <w:p w14:paraId="41ECBDD7" w14:textId="71F6762F" w:rsidR="00BA5162" w:rsidRDefault="00BA5162" w:rsidP="005A10C0">
            <w:pPr>
              <w:rPr>
                <w:b/>
                <w:bCs/>
                <w:sz w:val="20"/>
                <w:szCs w:val="20"/>
                <w:lang w:eastAsia="en-GB"/>
              </w:rPr>
            </w:pPr>
            <w:r>
              <w:rPr>
                <w:b/>
                <w:bCs/>
                <w:sz w:val="20"/>
                <w:szCs w:val="20"/>
                <w:lang w:eastAsia="en-GB"/>
              </w:rPr>
              <w:t>New Policy</w:t>
            </w:r>
          </w:p>
        </w:tc>
        <w:tc>
          <w:tcPr>
            <w:tcW w:w="3664" w:type="dxa"/>
          </w:tcPr>
          <w:p w14:paraId="323BCB21" w14:textId="360B6CF6" w:rsidR="00BA5162" w:rsidRDefault="00BA5162" w:rsidP="005A10C0">
            <w:pPr>
              <w:rPr>
                <w:b/>
                <w:bCs/>
                <w:sz w:val="20"/>
                <w:szCs w:val="20"/>
                <w:lang w:eastAsia="en-GB"/>
              </w:rPr>
            </w:pPr>
          </w:p>
        </w:tc>
      </w:tr>
      <w:tr w:rsidR="00BA5162" w14:paraId="6CC90B3D" w14:textId="77777777" w:rsidTr="005A10C0">
        <w:tc>
          <w:tcPr>
            <w:tcW w:w="1022" w:type="dxa"/>
          </w:tcPr>
          <w:p w14:paraId="1FB65744" w14:textId="77777777" w:rsidR="00BA5162" w:rsidRDefault="00BA5162" w:rsidP="005A10C0">
            <w:pPr>
              <w:rPr>
                <w:b/>
                <w:bCs/>
                <w:sz w:val="20"/>
                <w:szCs w:val="20"/>
                <w:lang w:eastAsia="en-GB"/>
              </w:rPr>
            </w:pPr>
            <w:r>
              <w:rPr>
                <w:b/>
                <w:bCs/>
                <w:sz w:val="20"/>
                <w:szCs w:val="20"/>
                <w:lang w:eastAsia="en-GB"/>
              </w:rPr>
              <w:t>1</w:t>
            </w:r>
          </w:p>
        </w:tc>
        <w:tc>
          <w:tcPr>
            <w:tcW w:w="711" w:type="dxa"/>
          </w:tcPr>
          <w:p w14:paraId="313E9E20" w14:textId="52CA4646" w:rsidR="00BA5162" w:rsidRDefault="00202779" w:rsidP="005A10C0">
            <w:pPr>
              <w:rPr>
                <w:b/>
                <w:bCs/>
                <w:sz w:val="20"/>
                <w:szCs w:val="20"/>
                <w:lang w:eastAsia="en-GB"/>
              </w:rPr>
            </w:pPr>
            <w:r>
              <w:rPr>
                <w:b/>
                <w:bCs/>
                <w:sz w:val="20"/>
                <w:szCs w:val="20"/>
                <w:lang w:eastAsia="en-GB"/>
              </w:rPr>
              <w:t>2</w:t>
            </w:r>
          </w:p>
        </w:tc>
        <w:tc>
          <w:tcPr>
            <w:tcW w:w="4219" w:type="dxa"/>
          </w:tcPr>
          <w:p w14:paraId="4A4503F9" w14:textId="7C5FB951" w:rsidR="00BA5162" w:rsidRDefault="00202779" w:rsidP="005A10C0">
            <w:pPr>
              <w:rPr>
                <w:b/>
                <w:bCs/>
                <w:sz w:val="20"/>
                <w:szCs w:val="20"/>
                <w:lang w:eastAsia="en-GB"/>
              </w:rPr>
            </w:pPr>
            <w:r>
              <w:rPr>
                <w:b/>
                <w:bCs/>
                <w:sz w:val="20"/>
                <w:szCs w:val="20"/>
                <w:lang w:eastAsia="en-GB"/>
              </w:rPr>
              <w:t>Reviewed and updated</w:t>
            </w:r>
          </w:p>
        </w:tc>
        <w:tc>
          <w:tcPr>
            <w:tcW w:w="3664" w:type="dxa"/>
          </w:tcPr>
          <w:p w14:paraId="54B632D5" w14:textId="6875987E" w:rsidR="00BA5162" w:rsidRDefault="00202779" w:rsidP="005A10C0">
            <w:pPr>
              <w:rPr>
                <w:b/>
                <w:bCs/>
                <w:sz w:val="20"/>
                <w:szCs w:val="20"/>
                <w:lang w:eastAsia="en-GB"/>
              </w:rPr>
            </w:pPr>
            <w:r>
              <w:rPr>
                <w:b/>
                <w:bCs/>
                <w:sz w:val="20"/>
                <w:szCs w:val="20"/>
                <w:lang w:eastAsia="en-GB"/>
              </w:rPr>
              <w:t>6 April 2021</w:t>
            </w:r>
          </w:p>
        </w:tc>
      </w:tr>
      <w:tr w:rsidR="00BA5162" w14:paraId="26CAB4C0" w14:textId="77777777" w:rsidTr="005A10C0">
        <w:tc>
          <w:tcPr>
            <w:tcW w:w="1022" w:type="dxa"/>
          </w:tcPr>
          <w:p w14:paraId="77C118A5" w14:textId="77777777" w:rsidR="00BA5162" w:rsidRDefault="00BA5162" w:rsidP="005A10C0">
            <w:pPr>
              <w:rPr>
                <w:b/>
                <w:bCs/>
                <w:sz w:val="20"/>
                <w:szCs w:val="20"/>
                <w:lang w:eastAsia="en-GB"/>
              </w:rPr>
            </w:pPr>
            <w:r>
              <w:rPr>
                <w:b/>
                <w:bCs/>
                <w:sz w:val="20"/>
                <w:szCs w:val="20"/>
                <w:lang w:eastAsia="en-GB"/>
              </w:rPr>
              <w:t>1</w:t>
            </w:r>
          </w:p>
        </w:tc>
        <w:tc>
          <w:tcPr>
            <w:tcW w:w="711" w:type="dxa"/>
          </w:tcPr>
          <w:p w14:paraId="45DB6AF3" w14:textId="1BCFF460" w:rsidR="00BA5162" w:rsidRDefault="00B850CA" w:rsidP="005A10C0">
            <w:pPr>
              <w:rPr>
                <w:b/>
                <w:bCs/>
                <w:sz w:val="20"/>
                <w:szCs w:val="20"/>
                <w:lang w:eastAsia="en-GB"/>
              </w:rPr>
            </w:pPr>
            <w:r>
              <w:rPr>
                <w:b/>
                <w:bCs/>
                <w:sz w:val="20"/>
                <w:szCs w:val="20"/>
                <w:lang w:eastAsia="en-GB"/>
              </w:rPr>
              <w:t>3</w:t>
            </w:r>
          </w:p>
        </w:tc>
        <w:tc>
          <w:tcPr>
            <w:tcW w:w="4219" w:type="dxa"/>
          </w:tcPr>
          <w:p w14:paraId="0DA2D39B" w14:textId="78BD0761" w:rsidR="00BA5162" w:rsidRDefault="00B850CA" w:rsidP="005A10C0">
            <w:pPr>
              <w:rPr>
                <w:b/>
                <w:bCs/>
                <w:sz w:val="20"/>
                <w:szCs w:val="20"/>
                <w:lang w:eastAsia="en-GB"/>
              </w:rPr>
            </w:pPr>
            <w:r>
              <w:rPr>
                <w:b/>
                <w:bCs/>
                <w:sz w:val="20"/>
                <w:szCs w:val="20"/>
                <w:lang w:eastAsia="en-GB"/>
              </w:rPr>
              <w:t>Reviewed, no update required</w:t>
            </w:r>
          </w:p>
        </w:tc>
        <w:tc>
          <w:tcPr>
            <w:tcW w:w="3664" w:type="dxa"/>
          </w:tcPr>
          <w:p w14:paraId="3A9CA74B" w14:textId="2A57D1FB" w:rsidR="00BA5162" w:rsidRDefault="00B850CA" w:rsidP="005A10C0">
            <w:pPr>
              <w:rPr>
                <w:b/>
                <w:bCs/>
                <w:sz w:val="20"/>
                <w:szCs w:val="20"/>
                <w:lang w:eastAsia="en-GB"/>
              </w:rPr>
            </w:pPr>
            <w:r>
              <w:rPr>
                <w:b/>
                <w:bCs/>
                <w:sz w:val="20"/>
                <w:szCs w:val="20"/>
                <w:lang w:eastAsia="en-GB"/>
              </w:rPr>
              <w:t>04.05.22</w:t>
            </w:r>
          </w:p>
        </w:tc>
      </w:tr>
      <w:tr w:rsidR="00BA5162" w14:paraId="57734606" w14:textId="77777777" w:rsidTr="005A10C0">
        <w:tc>
          <w:tcPr>
            <w:tcW w:w="1022" w:type="dxa"/>
          </w:tcPr>
          <w:p w14:paraId="4984EEAF" w14:textId="77777777" w:rsidR="00BA5162" w:rsidRDefault="00BA5162" w:rsidP="005A10C0">
            <w:pPr>
              <w:rPr>
                <w:b/>
                <w:bCs/>
                <w:sz w:val="20"/>
                <w:szCs w:val="20"/>
                <w:lang w:eastAsia="en-GB"/>
              </w:rPr>
            </w:pPr>
            <w:r>
              <w:rPr>
                <w:b/>
                <w:bCs/>
                <w:sz w:val="20"/>
                <w:szCs w:val="20"/>
                <w:lang w:eastAsia="en-GB"/>
              </w:rPr>
              <w:t>1</w:t>
            </w:r>
          </w:p>
        </w:tc>
        <w:tc>
          <w:tcPr>
            <w:tcW w:w="711" w:type="dxa"/>
          </w:tcPr>
          <w:p w14:paraId="0BC58D9D" w14:textId="15BDC205" w:rsidR="00BA5162" w:rsidRDefault="00BA5162" w:rsidP="005A10C0">
            <w:pPr>
              <w:rPr>
                <w:b/>
                <w:bCs/>
                <w:sz w:val="20"/>
                <w:szCs w:val="20"/>
                <w:lang w:eastAsia="en-GB"/>
              </w:rPr>
            </w:pPr>
          </w:p>
        </w:tc>
        <w:tc>
          <w:tcPr>
            <w:tcW w:w="4219" w:type="dxa"/>
          </w:tcPr>
          <w:p w14:paraId="34D671F0" w14:textId="309D1866" w:rsidR="00BA5162" w:rsidRDefault="00BA5162" w:rsidP="005A10C0">
            <w:pPr>
              <w:rPr>
                <w:b/>
                <w:bCs/>
                <w:sz w:val="20"/>
                <w:szCs w:val="20"/>
                <w:lang w:eastAsia="en-GB"/>
              </w:rPr>
            </w:pPr>
          </w:p>
        </w:tc>
        <w:tc>
          <w:tcPr>
            <w:tcW w:w="3664" w:type="dxa"/>
          </w:tcPr>
          <w:p w14:paraId="21DDDCFB" w14:textId="603371AE" w:rsidR="00BA5162" w:rsidRDefault="00BA5162" w:rsidP="005A10C0">
            <w:pPr>
              <w:rPr>
                <w:b/>
                <w:bCs/>
                <w:sz w:val="20"/>
                <w:szCs w:val="20"/>
                <w:lang w:eastAsia="en-GB"/>
              </w:rPr>
            </w:pPr>
          </w:p>
        </w:tc>
      </w:tr>
      <w:tr w:rsidR="00BA5162" w14:paraId="4DF3986B" w14:textId="77777777" w:rsidTr="005A10C0">
        <w:tc>
          <w:tcPr>
            <w:tcW w:w="1022" w:type="dxa"/>
          </w:tcPr>
          <w:p w14:paraId="7C5240E6" w14:textId="77777777" w:rsidR="00BA5162" w:rsidRDefault="00BA5162" w:rsidP="005A10C0">
            <w:pPr>
              <w:rPr>
                <w:b/>
                <w:bCs/>
                <w:sz w:val="20"/>
                <w:szCs w:val="20"/>
                <w:lang w:eastAsia="en-GB"/>
              </w:rPr>
            </w:pPr>
            <w:r>
              <w:rPr>
                <w:b/>
                <w:bCs/>
                <w:sz w:val="20"/>
                <w:szCs w:val="20"/>
                <w:lang w:eastAsia="en-GB"/>
              </w:rPr>
              <w:t>1</w:t>
            </w:r>
          </w:p>
        </w:tc>
        <w:tc>
          <w:tcPr>
            <w:tcW w:w="711" w:type="dxa"/>
          </w:tcPr>
          <w:p w14:paraId="7A90A6E5" w14:textId="75AC66C0" w:rsidR="00BA5162" w:rsidRDefault="00BA5162" w:rsidP="005A10C0">
            <w:pPr>
              <w:rPr>
                <w:b/>
                <w:bCs/>
                <w:sz w:val="20"/>
                <w:szCs w:val="20"/>
                <w:lang w:eastAsia="en-GB"/>
              </w:rPr>
            </w:pPr>
          </w:p>
        </w:tc>
        <w:tc>
          <w:tcPr>
            <w:tcW w:w="4219" w:type="dxa"/>
          </w:tcPr>
          <w:p w14:paraId="1A5F9C66" w14:textId="590A27F9" w:rsidR="00BA5162" w:rsidRDefault="00BA5162" w:rsidP="005A10C0">
            <w:pPr>
              <w:rPr>
                <w:b/>
                <w:bCs/>
                <w:sz w:val="20"/>
                <w:szCs w:val="20"/>
                <w:lang w:eastAsia="en-GB"/>
              </w:rPr>
            </w:pPr>
          </w:p>
        </w:tc>
        <w:tc>
          <w:tcPr>
            <w:tcW w:w="3664" w:type="dxa"/>
          </w:tcPr>
          <w:p w14:paraId="60FFBC9C" w14:textId="2BC8FFCD" w:rsidR="00BA5162" w:rsidRDefault="00BA5162" w:rsidP="005A10C0">
            <w:pPr>
              <w:rPr>
                <w:b/>
                <w:bCs/>
                <w:sz w:val="20"/>
                <w:szCs w:val="20"/>
                <w:lang w:eastAsia="en-GB"/>
              </w:rPr>
            </w:pPr>
          </w:p>
        </w:tc>
      </w:tr>
      <w:tr w:rsidR="00BA5162" w14:paraId="261A26EC" w14:textId="77777777" w:rsidTr="005A10C0">
        <w:trPr>
          <w:trHeight w:val="184"/>
        </w:trPr>
        <w:tc>
          <w:tcPr>
            <w:tcW w:w="1022" w:type="dxa"/>
          </w:tcPr>
          <w:p w14:paraId="152B225B" w14:textId="77777777" w:rsidR="00BA5162" w:rsidRDefault="00BA5162" w:rsidP="005A10C0">
            <w:pPr>
              <w:rPr>
                <w:b/>
                <w:bCs/>
                <w:sz w:val="20"/>
                <w:szCs w:val="20"/>
                <w:lang w:eastAsia="en-GB"/>
              </w:rPr>
            </w:pPr>
            <w:r>
              <w:rPr>
                <w:b/>
                <w:bCs/>
                <w:sz w:val="20"/>
                <w:szCs w:val="20"/>
                <w:lang w:eastAsia="en-GB"/>
              </w:rPr>
              <w:t>1</w:t>
            </w:r>
          </w:p>
        </w:tc>
        <w:tc>
          <w:tcPr>
            <w:tcW w:w="711" w:type="dxa"/>
          </w:tcPr>
          <w:p w14:paraId="32D1BC99" w14:textId="234A2547" w:rsidR="00BA5162" w:rsidRDefault="00BA5162" w:rsidP="005A10C0">
            <w:pPr>
              <w:rPr>
                <w:b/>
                <w:bCs/>
                <w:sz w:val="20"/>
                <w:szCs w:val="20"/>
                <w:lang w:eastAsia="en-GB"/>
              </w:rPr>
            </w:pPr>
          </w:p>
        </w:tc>
        <w:tc>
          <w:tcPr>
            <w:tcW w:w="4219" w:type="dxa"/>
          </w:tcPr>
          <w:p w14:paraId="333D149F" w14:textId="72E70224" w:rsidR="00BA5162" w:rsidRDefault="00BA5162" w:rsidP="005A10C0">
            <w:pPr>
              <w:rPr>
                <w:b/>
                <w:bCs/>
                <w:sz w:val="20"/>
                <w:szCs w:val="20"/>
                <w:lang w:eastAsia="en-GB"/>
              </w:rPr>
            </w:pPr>
          </w:p>
        </w:tc>
        <w:tc>
          <w:tcPr>
            <w:tcW w:w="3664" w:type="dxa"/>
          </w:tcPr>
          <w:p w14:paraId="494CE5D6" w14:textId="71EED825" w:rsidR="00BA5162" w:rsidRPr="008F1D25" w:rsidRDefault="00BA5162" w:rsidP="005A10C0">
            <w:pPr>
              <w:rPr>
                <w:b/>
                <w:bCs/>
                <w:sz w:val="20"/>
                <w:szCs w:val="20"/>
                <w:lang w:eastAsia="en-GB"/>
              </w:rPr>
            </w:pPr>
          </w:p>
        </w:tc>
      </w:tr>
      <w:tr w:rsidR="00BA5162" w14:paraId="19EBE80A" w14:textId="77777777" w:rsidTr="005A10C0">
        <w:trPr>
          <w:trHeight w:val="184"/>
        </w:trPr>
        <w:tc>
          <w:tcPr>
            <w:tcW w:w="1022" w:type="dxa"/>
          </w:tcPr>
          <w:p w14:paraId="5453FFF4" w14:textId="77777777" w:rsidR="00BA5162" w:rsidRDefault="00BA5162" w:rsidP="005A10C0">
            <w:pPr>
              <w:rPr>
                <w:b/>
                <w:bCs/>
                <w:sz w:val="20"/>
                <w:szCs w:val="20"/>
                <w:lang w:eastAsia="en-GB"/>
              </w:rPr>
            </w:pPr>
            <w:r>
              <w:rPr>
                <w:b/>
                <w:bCs/>
                <w:sz w:val="20"/>
                <w:szCs w:val="20"/>
                <w:lang w:eastAsia="en-GB"/>
              </w:rPr>
              <w:t>2</w:t>
            </w:r>
          </w:p>
        </w:tc>
        <w:tc>
          <w:tcPr>
            <w:tcW w:w="711" w:type="dxa"/>
          </w:tcPr>
          <w:p w14:paraId="358F13C6" w14:textId="0D879246" w:rsidR="00BA5162" w:rsidRDefault="00BA5162" w:rsidP="005A10C0">
            <w:pPr>
              <w:rPr>
                <w:b/>
                <w:bCs/>
                <w:sz w:val="20"/>
                <w:szCs w:val="20"/>
                <w:lang w:eastAsia="en-GB"/>
              </w:rPr>
            </w:pPr>
          </w:p>
        </w:tc>
        <w:tc>
          <w:tcPr>
            <w:tcW w:w="4219" w:type="dxa"/>
          </w:tcPr>
          <w:p w14:paraId="4CF66E7E" w14:textId="78DB3B87" w:rsidR="00BA5162" w:rsidRDefault="00BA5162" w:rsidP="005A10C0">
            <w:pPr>
              <w:rPr>
                <w:b/>
                <w:bCs/>
                <w:sz w:val="20"/>
                <w:szCs w:val="20"/>
                <w:lang w:eastAsia="en-GB"/>
              </w:rPr>
            </w:pPr>
          </w:p>
        </w:tc>
        <w:tc>
          <w:tcPr>
            <w:tcW w:w="3664" w:type="dxa"/>
          </w:tcPr>
          <w:p w14:paraId="24F9B044" w14:textId="6E84D48E" w:rsidR="00BA5162" w:rsidRPr="008F1D25" w:rsidRDefault="00BA5162" w:rsidP="005A10C0">
            <w:pPr>
              <w:rPr>
                <w:b/>
                <w:bCs/>
                <w:sz w:val="20"/>
                <w:szCs w:val="20"/>
                <w:lang w:eastAsia="en-GB"/>
              </w:rPr>
            </w:pPr>
          </w:p>
        </w:tc>
      </w:tr>
    </w:tbl>
    <w:p w14:paraId="0A31781D" w14:textId="77777777" w:rsidR="00BA5162" w:rsidRDefault="00BA5162" w:rsidP="00BA5162">
      <w:pPr>
        <w:rPr>
          <w:b/>
          <w:bCs/>
          <w:sz w:val="20"/>
          <w:szCs w:val="20"/>
          <w:lang w:eastAsia="en-GB"/>
        </w:rPr>
      </w:pPr>
      <w:r>
        <w:rPr>
          <w:b/>
          <w:bCs/>
          <w:sz w:val="20"/>
          <w:szCs w:val="20"/>
          <w:lang w:eastAsia="en-GB"/>
        </w:rPr>
        <w:br w:type="page"/>
      </w:r>
    </w:p>
    <w:p w14:paraId="50DCF5B3" w14:textId="77777777" w:rsidR="00BA5162" w:rsidRDefault="00BA5162" w:rsidP="00BA5162">
      <w:pPr>
        <w:pStyle w:val="BodyText"/>
        <w:rPr>
          <w:rFonts w:ascii="Times New Roman"/>
          <w:sz w:val="20"/>
        </w:rPr>
      </w:pPr>
    </w:p>
    <w:p w14:paraId="47CAB80E" w14:textId="22905D3C" w:rsidR="00BA5162" w:rsidRPr="00514AC2" w:rsidRDefault="00514AC2" w:rsidP="00BA5162">
      <w:pPr>
        <w:pStyle w:val="BodyText"/>
        <w:jc w:val="center"/>
        <w:rPr>
          <w:rFonts w:asciiTheme="minorHAnsi" w:hAnsiTheme="minorHAnsi" w:cstheme="minorHAnsi"/>
          <w:b/>
          <w:sz w:val="72"/>
          <w:szCs w:val="72"/>
        </w:rPr>
      </w:pPr>
      <w:r w:rsidRPr="00514AC2">
        <w:rPr>
          <w:rFonts w:asciiTheme="minorHAnsi" w:hAnsiTheme="minorHAnsi" w:cstheme="minorHAnsi"/>
          <w:b/>
          <w:sz w:val="72"/>
          <w:szCs w:val="72"/>
        </w:rPr>
        <w:t>Bilston Family Practice</w:t>
      </w:r>
    </w:p>
    <w:p w14:paraId="63156C63" w14:textId="77777777" w:rsidR="00BA5162" w:rsidRDefault="00BA5162" w:rsidP="00BA5162">
      <w:pPr>
        <w:spacing w:line="240" w:lineRule="auto"/>
        <w:jc w:val="center"/>
        <w:rPr>
          <w:b/>
          <w:sz w:val="72"/>
          <w:szCs w:val="72"/>
        </w:rPr>
      </w:pPr>
      <w:r w:rsidRPr="00CD23CE">
        <w:rPr>
          <w:b/>
          <w:sz w:val="72"/>
          <w:szCs w:val="72"/>
        </w:rPr>
        <w:t>Practice Call Recording Policy</w:t>
      </w:r>
    </w:p>
    <w:p w14:paraId="7B3E77EE" w14:textId="77777777" w:rsidR="00BA5162" w:rsidRDefault="00BA5162" w:rsidP="00BA5162">
      <w:pPr>
        <w:pStyle w:val="BodyText"/>
        <w:rPr>
          <w:b/>
          <w:sz w:val="20"/>
        </w:rPr>
      </w:pPr>
    </w:p>
    <w:p w14:paraId="268BD029" w14:textId="77777777" w:rsidR="00BA5162" w:rsidRDefault="00BA5162" w:rsidP="00BA5162">
      <w:pPr>
        <w:pStyle w:val="BodyText"/>
        <w:rPr>
          <w:b/>
          <w:sz w:val="20"/>
        </w:rPr>
      </w:pPr>
    </w:p>
    <w:p w14:paraId="5CBD818B" w14:textId="77777777" w:rsidR="00BA5162" w:rsidRDefault="00BA5162" w:rsidP="00BA5162">
      <w:pPr>
        <w:pStyle w:val="BodyText"/>
        <w:rPr>
          <w:b/>
          <w:sz w:val="20"/>
        </w:rPr>
      </w:pPr>
    </w:p>
    <w:p w14:paraId="6D1FAABA" w14:textId="77777777" w:rsidR="00BA5162" w:rsidRDefault="00BA5162" w:rsidP="00BA5162">
      <w:pPr>
        <w:pStyle w:val="BodyText"/>
        <w:rPr>
          <w:b/>
          <w:sz w:val="20"/>
        </w:rPr>
      </w:pPr>
    </w:p>
    <w:p w14:paraId="278196B9" w14:textId="77777777" w:rsidR="00BA5162" w:rsidRPr="00352E80" w:rsidRDefault="00BA5162" w:rsidP="00BA5162">
      <w:pPr>
        <w:rPr>
          <w:b/>
          <w:bCs/>
        </w:rPr>
      </w:pPr>
      <w:r w:rsidRPr="00352E80">
        <w:rPr>
          <w:b/>
          <w:bCs/>
        </w:rPr>
        <w:t>Document History</w:t>
      </w:r>
    </w:p>
    <w:p w14:paraId="317FED3B" w14:textId="77777777" w:rsidR="00BA5162" w:rsidRPr="00352E80" w:rsidRDefault="00BA5162" w:rsidP="00BA5162"/>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6"/>
        <w:gridCol w:w="6770"/>
      </w:tblGrid>
      <w:tr w:rsidR="00BA5162" w:rsidRPr="008E770C" w14:paraId="4F652FE9" w14:textId="77777777" w:rsidTr="005A10C0">
        <w:trPr>
          <w:trHeight w:val="414"/>
        </w:trPr>
        <w:tc>
          <w:tcPr>
            <w:tcW w:w="2586" w:type="dxa"/>
            <w:vAlign w:val="center"/>
          </w:tcPr>
          <w:p w14:paraId="13BCC8DA" w14:textId="77777777" w:rsidR="00BA5162" w:rsidRPr="000C77B4" w:rsidRDefault="00BA5162" w:rsidP="005A10C0">
            <w:pPr>
              <w:rPr>
                <w:rFonts w:cs="Calibri"/>
              </w:rPr>
            </w:pPr>
            <w:r w:rsidRPr="000C77B4">
              <w:rPr>
                <w:rFonts w:cs="Calibri"/>
              </w:rPr>
              <w:t>Document Reference:</w:t>
            </w:r>
          </w:p>
        </w:tc>
        <w:tc>
          <w:tcPr>
            <w:tcW w:w="6770" w:type="dxa"/>
            <w:vAlign w:val="center"/>
          </w:tcPr>
          <w:p w14:paraId="4C72138F" w14:textId="0267FE55" w:rsidR="00BA5162" w:rsidRPr="000C77B4" w:rsidRDefault="00BA5162" w:rsidP="005A10C0">
            <w:pPr>
              <w:rPr>
                <w:rFonts w:cs="Calibri"/>
              </w:rPr>
            </w:pPr>
          </w:p>
        </w:tc>
      </w:tr>
      <w:tr w:rsidR="00BA5162" w:rsidRPr="008E770C" w14:paraId="29ABA897" w14:textId="77777777" w:rsidTr="005A10C0">
        <w:trPr>
          <w:trHeight w:val="414"/>
        </w:trPr>
        <w:tc>
          <w:tcPr>
            <w:tcW w:w="2586" w:type="dxa"/>
            <w:vAlign w:val="center"/>
          </w:tcPr>
          <w:p w14:paraId="77EBEB1D" w14:textId="77777777" w:rsidR="00BA5162" w:rsidRPr="000C77B4" w:rsidRDefault="00BA5162" w:rsidP="005A10C0">
            <w:pPr>
              <w:rPr>
                <w:rFonts w:cs="Calibri"/>
              </w:rPr>
            </w:pPr>
            <w:r w:rsidRPr="000C77B4">
              <w:rPr>
                <w:rFonts w:cs="Calibri"/>
              </w:rPr>
              <w:t>Document Purpose:</w:t>
            </w:r>
          </w:p>
        </w:tc>
        <w:tc>
          <w:tcPr>
            <w:tcW w:w="6770" w:type="dxa"/>
            <w:vAlign w:val="center"/>
          </w:tcPr>
          <w:p w14:paraId="30A79FD6" w14:textId="42056C34" w:rsidR="00BA5162" w:rsidRPr="000C77B4" w:rsidRDefault="00BA5162" w:rsidP="005A10C0">
            <w:pPr>
              <w:rPr>
                <w:rFonts w:cs="Calibri"/>
              </w:rPr>
            </w:pPr>
            <w:r>
              <w:rPr>
                <w:rFonts w:cs="Calibri"/>
                <w:color w:val="000000"/>
              </w:rPr>
              <w:t xml:space="preserve">This policy sets out </w:t>
            </w:r>
            <w:r w:rsidR="00514AC2">
              <w:rPr>
                <w:rFonts w:cs="Calibri"/>
                <w:color w:val="000000"/>
              </w:rPr>
              <w:t xml:space="preserve">what Bilston Family Practice </w:t>
            </w:r>
            <w:r>
              <w:rPr>
                <w:rFonts w:cs="Calibri"/>
                <w:color w:val="000000"/>
              </w:rPr>
              <w:t xml:space="preserve">expect from all staff, including those working on behalf of the Practice, when complying with Data Protection legislation within the practice.  </w:t>
            </w:r>
          </w:p>
        </w:tc>
      </w:tr>
      <w:tr w:rsidR="00BA5162" w:rsidRPr="008E770C" w14:paraId="1FE1FC4B" w14:textId="77777777" w:rsidTr="005A10C0">
        <w:trPr>
          <w:trHeight w:val="414"/>
        </w:trPr>
        <w:tc>
          <w:tcPr>
            <w:tcW w:w="2586" w:type="dxa"/>
            <w:vAlign w:val="center"/>
          </w:tcPr>
          <w:p w14:paraId="396F6626" w14:textId="77777777" w:rsidR="00BA5162" w:rsidRPr="000C77B4" w:rsidRDefault="00BA5162" w:rsidP="005A10C0">
            <w:pPr>
              <w:rPr>
                <w:rFonts w:cs="Calibri"/>
              </w:rPr>
            </w:pPr>
            <w:r w:rsidRPr="000C77B4">
              <w:rPr>
                <w:rFonts w:cs="Calibri"/>
              </w:rPr>
              <w:t>Date Approved:</w:t>
            </w:r>
          </w:p>
        </w:tc>
        <w:tc>
          <w:tcPr>
            <w:tcW w:w="6770" w:type="dxa"/>
            <w:vAlign w:val="center"/>
          </w:tcPr>
          <w:p w14:paraId="01AE899D" w14:textId="74AD84F2" w:rsidR="00BA5162" w:rsidRPr="00CF5924" w:rsidRDefault="00202779" w:rsidP="005A10C0">
            <w:pPr>
              <w:rPr>
                <w:rFonts w:cs="Calibri"/>
              </w:rPr>
            </w:pPr>
            <w:r>
              <w:rPr>
                <w:rFonts w:cs="Calibri"/>
              </w:rPr>
              <w:t>6 April</w:t>
            </w:r>
            <w:r w:rsidR="00BA5162">
              <w:rPr>
                <w:rFonts w:cs="Calibri"/>
              </w:rPr>
              <w:t xml:space="preserve"> 202</w:t>
            </w:r>
            <w:r>
              <w:rPr>
                <w:rFonts w:cs="Calibri"/>
              </w:rPr>
              <w:t>1</w:t>
            </w:r>
          </w:p>
        </w:tc>
      </w:tr>
      <w:tr w:rsidR="00BA5162" w:rsidRPr="008E770C" w14:paraId="37CF90BD" w14:textId="77777777" w:rsidTr="005A10C0">
        <w:trPr>
          <w:trHeight w:val="424"/>
        </w:trPr>
        <w:tc>
          <w:tcPr>
            <w:tcW w:w="2586" w:type="dxa"/>
            <w:vAlign w:val="center"/>
          </w:tcPr>
          <w:p w14:paraId="3B987BD3" w14:textId="77777777" w:rsidR="00BA5162" w:rsidRPr="000C77B4" w:rsidRDefault="00BA5162" w:rsidP="005A10C0">
            <w:pPr>
              <w:rPr>
                <w:rFonts w:cs="Calibri"/>
              </w:rPr>
            </w:pPr>
            <w:r w:rsidRPr="000C77B4">
              <w:rPr>
                <w:rFonts w:cs="Calibri"/>
              </w:rPr>
              <w:t>Version Number:</w:t>
            </w:r>
          </w:p>
        </w:tc>
        <w:tc>
          <w:tcPr>
            <w:tcW w:w="6770" w:type="dxa"/>
            <w:vAlign w:val="center"/>
          </w:tcPr>
          <w:p w14:paraId="63D32F6F" w14:textId="77777777" w:rsidR="00BA5162" w:rsidRPr="000C77B4" w:rsidRDefault="00BA5162" w:rsidP="005A10C0">
            <w:pPr>
              <w:rPr>
                <w:rFonts w:cs="Calibri"/>
              </w:rPr>
            </w:pPr>
            <w:r>
              <w:rPr>
                <w:rFonts w:cs="Calibri"/>
              </w:rPr>
              <w:t>2</w:t>
            </w:r>
          </w:p>
        </w:tc>
      </w:tr>
      <w:tr w:rsidR="00BA5162" w:rsidRPr="008E770C" w14:paraId="51F46BAE" w14:textId="77777777" w:rsidTr="005A10C0">
        <w:trPr>
          <w:trHeight w:val="403"/>
        </w:trPr>
        <w:tc>
          <w:tcPr>
            <w:tcW w:w="2586" w:type="dxa"/>
            <w:vAlign w:val="center"/>
          </w:tcPr>
          <w:p w14:paraId="30F06D37" w14:textId="77777777" w:rsidR="00BA5162" w:rsidRPr="000C77B4" w:rsidRDefault="00BA5162" w:rsidP="005A10C0">
            <w:pPr>
              <w:rPr>
                <w:rFonts w:cs="Calibri"/>
              </w:rPr>
            </w:pPr>
            <w:r w:rsidRPr="000C77B4">
              <w:rPr>
                <w:rFonts w:cs="Calibri"/>
              </w:rPr>
              <w:t>Status:</w:t>
            </w:r>
          </w:p>
        </w:tc>
        <w:tc>
          <w:tcPr>
            <w:tcW w:w="6770" w:type="dxa"/>
            <w:vAlign w:val="center"/>
          </w:tcPr>
          <w:p w14:paraId="129AA68F" w14:textId="77777777" w:rsidR="00BA5162" w:rsidRPr="000C77B4" w:rsidRDefault="00BA5162" w:rsidP="005A10C0">
            <w:pPr>
              <w:rPr>
                <w:rFonts w:cs="Calibri"/>
              </w:rPr>
            </w:pPr>
            <w:r>
              <w:rPr>
                <w:rFonts w:cs="Calibri"/>
              </w:rPr>
              <w:t>FINAL</w:t>
            </w:r>
          </w:p>
        </w:tc>
      </w:tr>
      <w:tr w:rsidR="00BA5162" w:rsidRPr="008E770C" w14:paraId="34EFE697" w14:textId="77777777" w:rsidTr="005A10C0">
        <w:trPr>
          <w:trHeight w:val="423"/>
        </w:trPr>
        <w:tc>
          <w:tcPr>
            <w:tcW w:w="2586" w:type="dxa"/>
            <w:vAlign w:val="center"/>
          </w:tcPr>
          <w:p w14:paraId="28D3C0BD" w14:textId="77777777" w:rsidR="00BA5162" w:rsidRPr="000C77B4" w:rsidRDefault="00BA5162" w:rsidP="005A10C0">
            <w:pPr>
              <w:rPr>
                <w:rFonts w:cs="Calibri"/>
              </w:rPr>
            </w:pPr>
            <w:r w:rsidRPr="000C77B4">
              <w:rPr>
                <w:rFonts w:cs="Calibri"/>
              </w:rPr>
              <w:t>Next Revision Due:</w:t>
            </w:r>
          </w:p>
        </w:tc>
        <w:tc>
          <w:tcPr>
            <w:tcW w:w="6770" w:type="dxa"/>
            <w:vAlign w:val="center"/>
          </w:tcPr>
          <w:p w14:paraId="5E95D3EC" w14:textId="42AB80D5" w:rsidR="00BA5162" w:rsidRPr="000C77B4" w:rsidRDefault="00B850CA" w:rsidP="005A10C0">
            <w:pPr>
              <w:rPr>
                <w:rFonts w:cs="Calibri"/>
              </w:rPr>
            </w:pPr>
            <w:r>
              <w:rPr>
                <w:rFonts w:cs="Calibri"/>
              </w:rPr>
              <w:t>May 2023</w:t>
            </w:r>
          </w:p>
        </w:tc>
      </w:tr>
      <w:tr w:rsidR="00BA5162" w:rsidRPr="008E770C" w14:paraId="7CCDF22A" w14:textId="77777777" w:rsidTr="005A10C0">
        <w:trPr>
          <w:trHeight w:val="423"/>
        </w:trPr>
        <w:tc>
          <w:tcPr>
            <w:tcW w:w="2586" w:type="dxa"/>
            <w:vAlign w:val="center"/>
          </w:tcPr>
          <w:p w14:paraId="726E113C" w14:textId="77777777" w:rsidR="00BA5162" w:rsidRPr="000C77B4" w:rsidRDefault="00BA5162" w:rsidP="005A10C0">
            <w:pPr>
              <w:rPr>
                <w:rFonts w:cs="Calibri"/>
              </w:rPr>
            </w:pPr>
            <w:r w:rsidRPr="000C77B4">
              <w:rPr>
                <w:rFonts w:cs="Calibri"/>
              </w:rPr>
              <w:t>Developed by:</w:t>
            </w:r>
          </w:p>
        </w:tc>
        <w:tc>
          <w:tcPr>
            <w:tcW w:w="6770" w:type="dxa"/>
            <w:vAlign w:val="center"/>
          </w:tcPr>
          <w:p w14:paraId="03981799" w14:textId="77777777" w:rsidR="00BA5162" w:rsidRPr="000C77B4" w:rsidRDefault="00BA5162" w:rsidP="005A10C0">
            <w:pPr>
              <w:rPr>
                <w:rFonts w:cs="Calibri"/>
              </w:rPr>
            </w:pPr>
            <w:r>
              <w:rPr>
                <w:rFonts w:cs="Calibri"/>
              </w:rPr>
              <w:t>Paul Couldrey – IG Consultant</w:t>
            </w:r>
          </w:p>
        </w:tc>
      </w:tr>
      <w:tr w:rsidR="00BA5162" w:rsidRPr="008E770C" w14:paraId="742844DE" w14:textId="77777777" w:rsidTr="005A10C0">
        <w:trPr>
          <w:trHeight w:val="423"/>
        </w:trPr>
        <w:tc>
          <w:tcPr>
            <w:tcW w:w="2586" w:type="dxa"/>
            <w:vAlign w:val="center"/>
          </w:tcPr>
          <w:p w14:paraId="03D02E32" w14:textId="77777777" w:rsidR="00BA5162" w:rsidRPr="000C77B4" w:rsidRDefault="00BA5162" w:rsidP="005A10C0">
            <w:pPr>
              <w:rPr>
                <w:rFonts w:cs="Calibri"/>
              </w:rPr>
            </w:pPr>
            <w:r w:rsidRPr="000C77B4">
              <w:rPr>
                <w:rFonts w:cs="Calibri"/>
              </w:rPr>
              <w:t>Policy Sponsor:</w:t>
            </w:r>
          </w:p>
        </w:tc>
        <w:tc>
          <w:tcPr>
            <w:tcW w:w="6770" w:type="dxa"/>
            <w:vAlign w:val="center"/>
          </w:tcPr>
          <w:p w14:paraId="6488EE3B" w14:textId="1A009383" w:rsidR="00BA5162" w:rsidRPr="000C77B4" w:rsidRDefault="00BA5162" w:rsidP="005A10C0">
            <w:pPr>
              <w:rPr>
                <w:rFonts w:cs="Calibri"/>
              </w:rPr>
            </w:pPr>
            <w:r>
              <w:rPr>
                <w:rFonts w:cs="Calibri"/>
              </w:rPr>
              <w:t>Practice Manager</w:t>
            </w:r>
            <w:r w:rsidR="00514AC2">
              <w:rPr>
                <w:rFonts w:cs="Calibri"/>
              </w:rPr>
              <w:t xml:space="preserve"> – Jenna Biddulph</w:t>
            </w:r>
          </w:p>
        </w:tc>
      </w:tr>
      <w:tr w:rsidR="00BA5162" w:rsidRPr="008E770C" w14:paraId="37194FEE" w14:textId="77777777" w:rsidTr="005A10C0">
        <w:trPr>
          <w:trHeight w:val="423"/>
        </w:trPr>
        <w:tc>
          <w:tcPr>
            <w:tcW w:w="2586" w:type="dxa"/>
            <w:vAlign w:val="center"/>
          </w:tcPr>
          <w:p w14:paraId="47E6E705" w14:textId="77777777" w:rsidR="00BA5162" w:rsidRPr="000C77B4" w:rsidRDefault="00BA5162" w:rsidP="005A10C0">
            <w:pPr>
              <w:rPr>
                <w:rFonts w:cs="Calibri"/>
              </w:rPr>
            </w:pPr>
            <w:r w:rsidRPr="000C77B4">
              <w:rPr>
                <w:rFonts w:cs="Calibri"/>
              </w:rPr>
              <w:t>Target Audience:</w:t>
            </w:r>
          </w:p>
        </w:tc>
        <w:tc>
          <w:tcPr>
            <w:tcW w:w="6770" w:type="dxa"/>
            <w:vAlign w:val="center"/>
          </w:tcPr>
          <w:p w14:paraId="003973BA" w14:textId="77777777" w:rsidR="00BA5162" w:rsidRPr="000C77B4" w:rsidRDefault="00BA5162" w:rsidP="005A10C0">
            <w:pPr>
              <w:rPr>
                <w:rFonts w:cs="Calibri"/>
              </w:rPr>
            </w:pPr>
            <w:r w:rsidRPr="000C77B4">
              <w:rPr>
                <w:rFonts w:cs="Calibri"/>
                <w:color w:val="000000"/>
              </w:rPr>
              <w:t xml:space="preserve">This policy applies to any person directly employed, contracted, working on behalf of the </w:t>
            </w:r>
            <w:r>
              <w:rPr>
                <w:rFonts w:cs="Calibri"/>
                <w:color w:val="000000"/>
              </w:rPr>
              <w:t>Practice</w:t>
            </w:r>
            <w:r w:rsidRPr="000C77B4">
              <w:rPr>
                <w:rFonts w:cs="Calibri"/>
                <w:color w:val="000000"/>
              </w:rPr>
              <w:t xml:space="preserve"> or volunteering with the </w:t>
            </w:r>
            <w:r>
              <w:rPr>
                <w:rFonts w:cs="Calibri"/>
                <w:color w:val="000000"/>
              </w:rPr>
              <w:t>Practice.</w:t>
            </w:r>
          </w:p>
        </w:tc>
      </w:tr>
      <w:tr w:rsidR="00BA5162" w:rsidRPr="008E770C" w14:paraId="44D2F9A1" w14:textId="77777777" w:rsidTr="005A10C0">
        <w:trPr>
          <w:trHeight w:val="423"/>
        </w:trPr>
        <w:tc>
          <w:tcPr>
            <w:tcW w:w="2586" w:type="dxa"/>
            <w:vAlign w:val="center"/>
          </w:tcPr>
          <w:p w14:paraId="611C417D" w14:textId="77777777" w:rsidR="00BA5162" w:rsidRPr="000C77B4" w:rsidRDefault="00BA5162" w:rsidP="005A10C0">
            <w:pPr>
              <w:rPr>
                <w:rFonts w:cs="Calibri"/>
              </w:rPr>
            </w:pPr>
            <w:r w:rsidRPr="000C77B4">
              <w:rPr>
                <w:rFonts w:cs="Calibri"/>
              </w:rPr>
              <w:t>Associated Documents:</w:t>
            </w:r>
          </w:p>
        </w:tc>
        <w:tc>
          <w:tcPr>
            <w:tcW w:w="6770" w:type="dxa"/>
            <w:vAlign w:val="center"/>
          </w:tcPr>
          <w:p w14:paraId="14095372" w14:textId="0EB10C10" w:rsidR="00BA5162" w:rsidRPr="000C77B4" w:rsidRDefault="00BA5162" w:rsidP="005A10C0">
            <w:pPr>
              <w:rPr>
                <w:rFonts w:cs="Calibri"/>
              </w:rPr>
            </w:pPr>
            <w:r w:rsidRPr="000C77B4">
              <w:rPr>
                <w:rFonts w:cs="Calibri"/>
              </w:rPr>
              <w:t>All Information Governance Policies and the Information Governance Toolkit</w:t>
            </w:r>
            <w:r>
              <w:rPr>
                <w:rFonts w:cs="Calibri"/>
              </w:rPr>
              <w:t>, and Data Security and Protections Toolkit 20</w:t>
            </w:r>
            <w:r w:rsidR="00202779">
              <w:rPr>
                <w:rFonts w:cs="Calibri"/>
              </w:rPr>
              <w:t>20</w:t>
            </w:r>
          </w:p>
        </w:tc>
      </w:tr>
      <w:tr w:rsidR="00BA5162" w:rsidRPr="008E770C" w14:paraId="5B3F21AD" w14:textId="77777777" w:rsidTr="005A10C0">
        <w:trPr>
          <w:trHeight w:val="423"/>
        </w:trPr>
        <w:tc>
          <w:tcPr>
            <w:tcW w:w="2586" w:type="dxa"/>
            <w:vAlign w:val="center"/>
          </w:tcPr>
          <w:p w14:paraId="6CBF7EAF" w14:textId="77777777" w:rsidR="00BA5162" w:rsidRPr="000C77B4" w:rsidRDefault="00BA5162" w:rsidP="005A10C0">
            <w:pPr>
              <w:rPr>
                <w:rFonts w:cs="Calibri"/>
              </w:rPr>
            </w:pPr>
            <w:r>
              <w:rPr>
                <w:rFonts w:cs="Calibri"/>
              </w:rPr>
              <w:t>DS&amp;P Toolkit Standard</w:t>
            </w:r>
          </w:p>
        </w:tc>
        <w:tc>
          <w:tcPr>
            <w:tcW w:w="6770" w:type="dxa"/>
            <w:vAlign w:val="center"/>
          </w:tcPr>
          <w:p w14:paraId="0F62C57E" w14:textId="392867BA" w:rsidR="00BA5162" w:rsidRPr="000C77B4" w:rsidRDefault="00BA5162" w:rsidP="005A10C0">
            <w:pPr>
              <w:rPr>
                <w:rFonts w:cs="Calibri"/>
              </w:rPr>
            </w:pPr>
          </w:p>
        </w:tc>
      </w:tr>
    </w:tbl>
    <w:p w14:paraId="1FFBDED0" w14:textId="5E2020F6" w:rsidR="00BA5162" w:rsidRDefault="00BA5162" w:rsidP="00BA5162">
      <w:pPr>
        <w:pStyle w:val="BodyText"/>
        <w:rPr>
          <w:rFonts w:ascii="Times New Roman"/>
          <w:b/>
          <w:sz w:val="34"/>
        </w:rPr>
      </w:pPr>
    </w:p>
    <w:p w14:paraId="119D67C5" w14:textId="2327C18A" w:rsidR="00202779" w:rsidRDefault="00202779" w:rsidP="00BA5162">
      <w:pPr>
        <w:pStyle w:val="BodyText"/>
        <w:rPr>
          <w:rFonts w:ascii="Times New Roman"/>
          <w:b/>
          <w:sz w:val="34"/>
        </w:rPr>
      </w:pPr>
    </w:p>
    <w:p w14:paraId="47388068" w14:textId="5DA2F53D" w:rsidR="00514AC2" w:rsidRDefault="00514AC2" w:rsidP="00BA5162">
      <w:pPr>
        <w:pStyle w:val="BodyText"/>
        <w:rPr>
          <w:rFonts w:ascii="Times New Roman"/>
          <w:b/>
          <w:sz w:val="34"/>
        </w:rPr>
      </w:pPr>
    </w:p>
    <w:p w14:paraId="4FA70EBC" w14:textId="56ED1983" w:rsidR="00514AC2" w:rsidRDefault="00514AC2" w:rsidP="00BA5162">
      <w:pPr>
        <w:pStyle w:val="BodyText"/>
        <w:rPr>
          <w:rFonts w:ascii="Times New Roman"/>
          <w:b/>
          <w:sz w:val="34"/>
        </w:rPr>
      </w:pPr>
    </w:p>
    <w:p w14:paraId="60F8A0E9" w14:textId="3D42012E" w:rsidR="00514AC2" w:rsidRDefault="00514AC2" w:rsidP="00BA5162">
      <w:pPr>
        <w:pStyle w:val="BodyText"/>
        <w:rPr>
          <w:rFonts w:ascii="Times New Roman"/>
          <w:b/>
          <w:sz w:val="34"/>
        </w:rPr>
      </w:pPr>
    </w:p>
    <w:p w14:paraId="28342930" w14:textId="741CEA5B" w:rsidR="00514AC2" w:rsidRDefault="00514AC2" w:rsidP="00BA5162">
      <w:pPr>
        <w:pStyle w:val="BodyText"/>
        <w:rPr>
          <w:rFonts w:ascii="Times New Roman"/>
          <w:b/>
          <w:sz w:val="34"/>
        </w:rPr>
      </w:pPr>
    </w:p>
    <w:p w14:paraId="14578FAF" w14:textId="77777777" w:rsidR="00514AC2" w:rsidRDefault="00514AC2" w:rsidP="00BA5162">
      <w:pPr>
        <w:pStyle w:val="BodyText"/>
        <w:rPr>
          <w:rFonts w:ascii="Times New Roman"/>
          <w:b/>
          <w:sz w:val="34"/>
        </w:rPr>
      </w:pPr>
    </w:p>
    <w:p w14:paraId="1207174F" w14:textId="77777777" w:rsidR="00366D33" w:rsidRDefault="0002234A" w:rsidP="0002234A">
      <w:pPr>
        <w:pStyle w:val="ListParagraph"/>
        <w:numPr>
          <w:ilvl w:val="0"/>
          <w:numId w:val="13"/>
        </w:numPr>
        <w:spacing w:after="0"/>
        <w:jc w:val="both"/>
        <w:rPr>
          <w:b/>
        </w:rPr>
      </w:pPr>
      <w:r w:rsidRPr="0002234A">
        <w:rPr>
          <w:b/>
        </w:rPr>
        <w:lastRenderedPageBreak/>
        <w:t>General Principles</w:t>
      </w:r>
    </w:p>
    <w:p w14:paraId="3515E613" w14:textId="08141466" w:rsidR="00363262" w:rsidRDefault="00363262" w:rsidP="00363262">
      <w:pPr>
        <w:pStyle w:val="ListParagraph"/>
        <w:spacing w:after="0"/>
        <w:ind w:left="360"/>
        <w:jc w:val="both"/>
        <w:rPr>
          <w:rFonts w:ascii="Calibri" w:hAnsi="Calibri" w:cs="Calibri"/>
        </w:rPr>
      </w:pPr>
      <w:r w:rsidRPr="00363262">
        <w:rPr>
          <w:rFonts w:ascii="Calibri" w:hAnsi="Calibri" w:cs="Calibri"/>
        </w:rPr>
        <w:t xml:space="preserve">The </w:t>
      </w:r>
      <w:r w:rsidR="00202779">
        <w:rPr>
          <w:rFonts w:ascii="Calibri" w:hAnsi="Calibri" w:cs="Calibri"/>
        </w:rPr>
        <w:t xml:space="preserve">UK </w:t>
      </w:r>
      <w:r w:rsidRPr="00363262">
        <w:rPr>
          <w:rFonts w:ascii="Calibri" w:hAnsi="Calibri" w:cs="Calibri"/>
        </w:rPr>
        <w:t>General Data Protection Regulation (</w:t>
      </w:r>
      <w:r w:rsidR="00202779">
        <w:rPr>
          <w:rFonts w:ascii="Calibri" w:hAnsi="Calibri" w:cs="Calibri"/>
        </w:rPr>
        <w:t>UK GDPR</w:t>
      </w:r>
      <w:r w:rsidRPr="00363262">
        <w:rPr>
          <w:rFonts w:ascii="Calibri" w:hAnsi="Calibri" w:cs="Calibri"/>
        </w:rPr>
        <w:t>)</w:t>
      </w:r>
      <w:r w:rsidR="00202779">
        <w:rPr>
          <w:rFonts w:ascii="Calibri" w:hAnsi="Calibri" w:cs="Calibri"/>
        </w:rPr>
        <w:t xml:space="preserve"> and the Data Protection Act 2018 (DPA)</w:t>
      </w:r>
      <w:r w:rsidRPr="00363262">
        <w:rPr>
          <w:rFonts w:ascii="Calibri" w:hAnsi="Calibri" w:cs="Calibri"/>
        </w:rPr>
        <w:t xml:space="preserve"> protects personal information held by organisations</w:t>
      </w:r>
      <w:r>
        <w:rPr>
          <w:rFonts w:ascii="Calibri" w:hAnsi="Calibri" w:cs="Calibri"/>
        </w:rPr>
        <w:t xml:space="preserve"> </w:t>
      </w:r>
      <w:r w:rsidRPr="00363262">
        <w:rPr>
          <w:rFonts w:ascii="Calibri" w:hAnsi="Calibri" w:cs="Calibri"/>
        </w:rPr>
        <w:t>on computer and relevant filing systems. It enforces a set of standards for the processing of such</w:t>
      </w:r>
      <w:r>
        <w:rPr>
          <w:rFonts w:ascii="Calibri" w:hAnsi="Calibri" w:cs="Calibri"/>
        </w:rPr>
        <w:t xml:space="preserve"> </w:t>
      </w:r>
      <w:r w:rsidRPr="00363262">
        <w:rPr>
          <w:rFonts w:ascii="Calibri" w:hAnsi="Calibri" w:cs="Calibri"/>
        </w:rPr>
        <w:t>information. In general terms it provides that all data shall be used for specific purposes only and not</w:t>
      </w:r>
      <w:r>
        <w:rPr>
          <w:rFonts w:ascii="Calibri" w:hAnsi="Calibri" w:cs="Calibri"/>
        </w:rPr>
        <w:t xml:space="preserve"> </w:t>
      </w:r>
      <w:r w:rsidRPr="00363262">
        <w:rPr>
          <w:rFonts w:ascii="Calibri" w:hAnsi="Calibri" w:cs="Calibri"/>
        </w:rPr>
        <w:t>used or disclosed in any way incompatible with these purposes.</w:t>
      </w:r>
    </w:p>
    <w:p w14:paraId="24283F78" w14:textId="77777777" w:rsidR="00363262" w:rsidRDefault="00363262" w:rsidP="00363262">
      <w:pPr>
        <w:pStyle w:val="ListParagraph"/>
        <w:spacing w:after="0"/>
        <w:ind w:left="360"/>
        <w:jc w:val="both"/>
        <w:rPr>
          <w:rFonts w:ascii="Calibri" w:hAnsi="Calibri" w:cs="Calibri"/>
        </w:rPr>
      </w:pPr>
    </w:p>
    <w:p w14:paraId="3717ACE5" w14:textId="77777777" w:rsidR="00363262" w:rsidRDefault="00363262" w:rsidP="00363262">
      <w:pPr>
        <w:pStyle w:val="ListParagraph"/>
        <w:spacing w:after="0"/>
        <w:ind w:left="360"/>
        <w:jc w:val="both"/>
        <w:rPr>
          <w:rFonts w:ascii="Calibri" w:hAnsi="Calibri" w:cs="Calibri"/>
        </w:rPr>
      </w:pPr>
      <w:r w:rsidRPr="00363262">
        <w:rPr>
          <w:rFonts w:ascii="Calibri" w:hAnsi="Calibri" w:cs="Calibri"/>
        </w:rPr>
        <w:t xml:space="preserve">In the course of its activities the </w:t>
      </w:r>
      <w:r w:rsidR="00A16053">
        <w:rPr>
          <w:rFonts w:ascii="Calibri" w:hAnsi="Calibri" w:cs="Calibri"/>
        </w:rPr>
        <w:t>Practice</w:t>
      </w:r>
      <w:r w:rsidRPr="00363262">
        <w:rPr>
          <w:rFonts w:ascii="Calibri" w:hAnsi="Calibri" w:cs="Calibri"/>
        </w:rPr>
        <w:t xml:space="preserve"> will collect, store and process personal data, including the</w:t>
      </w:r>
      <w:r>
        <w:rPr>
          <w:rFonts w:ascii="Calibri" w:hAnsi="Calibri" w:cs="Calibri"/>
        </w:rPr>
        <w:t xml:space="preserve"> </w:t>
      </w:r>
      <w:r w:rsidRPr="00363262">
        <w:rPr>
          <w:rFonts w:ascii="Calibri" w:hAnsi="Calibri" w:cs="Calibri"/>
        </w:rPr>
        <w:t>recording of all telephone calls, and it recognises that the correct and lawful treatment of this data</w:t>
      </w:r>
      <w:r>
        <w:rPr>
          <w:rFonts w:ascii="Calibri" w:hAnsi="Calibri" w:cs="Calibri"/>
        </w:rPr>
        <w:t xml:space="preserve"> </w:t>
      </w:r>
      <w:r w:rsidRPr="00363262">
        <w:rPr>
          <w:rFonts w:ascii="Calibri" w:hAnsi="Calibri" w:cs="Calibri"/>
        </w:rPr>
        <w:t>will maintain confidence in the organisation and will provide for successful business operations.</w:t>
      </w:r>
    </w:p>
    <w:p w14:paraId="22509FEA" w14:textId="77777777" w:rsidR="00363262" w:rsidRDefault="00363262" w:rsidP="00363262">
      <w:pPr>
        <w:pStyle w:val="ListParagraph"/>
        <w:spacing w:after="0"/>
        <w:ind w:left="360"/>
        <w:jc w:val="both"/>
        <w:rPr>
          <w:rFonts w:ascii="Calibri" w:hAnsi="Calibri" w:cs="Calibri"/>
        </w:rPr>
      </w:pPr>
    </w:p>
    <w:p w14:paraId="0A139BDE" w14:textId="4D4CE714" w:rsidR="00363262" w:rsidRPr="00363262" w:rsidRDefault="00363262" w:rsidP="00363262">
      <w:pPr>
        <w:pStyle w:val="ListParagraph"/>
        <w:spacing w:after="0"/>
        <w:ind w:left="360"/>
        <w:jc w:val="both"/>
      </w:pPr>
      <w:r w:rsidRPr="00363262">
        <w:rPr>
          <w:rFonts w:ascii="Calibri" w:hAnsi="Calibri" w:cs="Calibri"/>
        </w:rPr>
        <w:t xml:space="preserve">The </w:t>
      </w:r>
      <w:r w:rsidR="00A16053">
        <w:rPr>
          <w:rFonts w:ascii="Calibri" w:hAnsi="Calibri" w:cs="Calibri"/>
        </w:rPr>
        <w:t>Practice</w:t>
      </w:r>
      <w:r w:rsidRPr="00363262">
        <w:rPr>
          <w:rFonts w:ascii="Calibri" w:hAnsi="Calibri" w:cs="Calibri"/>
        </w:rPr>
        <w:t xml:space="preserve"> is registered with the Information Commissioner for all necessary activities under the</w:t>
      </w:r>
      <w:r>
        <w:rPr>
          <w:rFonts w:ascii="Calibri" w:hAnsi="Calibri" w:cs="Calibri"/>
        </w:rPr>
        <w:t xml:space="preserve"> </w:t>
      </w:r>
      <w:r w:rsidR="00202779">
        <w:rPr>
          <w:rFonts w:ascii="Calibri" w:hAnsi="Calibri" w:cs="Calibri"/>
        </w:rPr>
        <w:t>UK GDPR/DPA</w:t>
      </w:r>
      <w:r w:rsidRPr="00363262">
        <w:rPr>
          <w:rFonts w:ascii="Calibri" w:hAnsi="Calibri" w:cs="Calibri"/>
        </w:rPr>
        <w:t>.</w:t>
      </w:r>
    </w:p>
    <w:p w14:paraId="2D4F4E8B" w14:textId="77777777" w:rsidR="0002234A" w:rsidRPr="0002234A" w:rsidRDefault="0002234A" w:rsidP="0002234A">
      <w:pPr>
        <w:pStyle w:val="ListParagraph"/>
        <w:spacing w:after="0"/>
        <w:ind w:left="360"/>
        <w:jc w:val="both"/>
      </w:pPr>
    </w:p>
    <w:p w14:paraId="5684FB7E" w14:textId="77777777" w:rsidR="0002234A" w:rsidRDefault="0002234A" w:rsidP="0002234A">
      <w:pPr>
        <w:pStyle w:val="ListParagraph"/>
        <w:numPr>
          <w:ilvl w:val="0"/>
          <w:numId w:val="13"/>
        </w:numPr>
        <w:spacing w:after="0"/>
        <w:jc w:val="both"/>
        <w:rPr>
          <w:b/>
        </w:rPr>
      </w:pPr>
      <w:r w:rsidRPr="0002234A">
        <w:rPr>
          <w:b/>
        </w:rPr>
        <w:t>Call Recording Overview</w:t>
      </w:r>
    </w:p>
    <w:p w14:paraId="46B0F82D" w14:textId="77777777" w:rsidR="00363262" w:rsidRDefault="00363262" w:rsidP="00363262">
      <w:pPr>
        <w:autoSpaceDE w:val="0"/>
        <w:autoSpaceDN w:val="0"/>
        <w:adjustRightInd w:val="0"/>
        <w:spacing w:after="0" w:line="240" w:lineRule="auto"/>
        <w:ind w:firstLine="360"/>
        <w:rPr>
          <w:rFonts w:cs="Calibri-Bold"/>
          <w:b/>
          <w:bCs/>
        </w:rPr>
      </w:pPr>
    </w:p>
    <w:p w14:paraId="0E2DA34D" w14:textId="77777777" w:rsidR="00363262" w:rsidRPr="00363262" w:rsidRDefault="00363262" w:rsidP="00363262">
      <w:pPr>
        <w:autoSpaceDE w:val="0"/>
        <w:autoSpaceDN w:val="0"/>
        <w:adjustRightInd w:val="0"/>
        <w:spacing w:after="0" w:line="240" w:lineRule="auto"/>
        <w:ind w:firstLine="360"/>
        <w:rPr>
          <w:rFonts w:cs="Calibri-Bold"/>
          <w:b/>
          <w:bCs/>
        </w:rPr>
      </w:pPr>
      <w:r w:rsidRPr="00363262">
        <w:rPr>
          <w:rFonts w:cs="Calibri-Bold"/>
          <w:b/>
          <w:bCs/>
        </w:rPr>
        <w:t>Purposes of call recording</w:t>
      </w:r>
    </w:p>
    <w:p w14:paraId="07DE895B" w14:textId="77777777" w:rsidR="00363262" w:rsidRDefault="00363262" w:rsidP="00363262">
      <w:pPr>
        <w:autoSpaceDE w:val="0"/>
        <w:autoSpaceDN w:val="0"/>
        <w:adjustRightInd w:val="0"/>
        <w:spacing w:after="0" w:line="240" w:lineRule="auto"/>
        <w:ind w:firstLine="360"/>
        <w:jc w:val="both"/>
        <w:rPr>
          <w:rFonts w:cs="Calibri"/>
        </w:rPr>
      </w:pPr>
      <w:r w:rsidRPr="00363262">
        <w:rPr>
          <w:rFonts w:cs="Calibri"/>
        </w:rPr>
        <w:t>The purpose of call recording is to provide an exact record of the call which can:</w:t>
      </w:r>
    </w:p>
    <w:p w14:paraId="7F482D5D" w14:textId="77777777" w:rsidR="00363262" w:rsidRDefault="000A24B9" w:rsidP="00363262">
      <w:pPr>
        <w:pStyle w:val="ListParagraph"/>
        <w:numPr>
          <w:ilvl w:val="0"/>
          <w:numId w:val="14"/>
        </w:numPr>
        <w:autoSpaceDE w:val="0"/>
        <w:autoSpaceDN w:val="0"/>
        <w:adjustRightInd w:val="0"/>
        <w:spacing w:after="0" w:line="240" w:lineRule="auto"/>
        <w:jc w:val="both"/>
        <w:rPr>
          <w:rFonts w:cs="Calibri"/>
        </w:rPr>
      </w:pPr>
      <w:r>
        <w:rPr>
          <w:rFonts w:cs="Calibri"/>
        </w:rPr>
        <w:t>Protect the interests of both parties</w:t>
      </w:r>
      <w:r w:rsidR="00363262" w:rsidRPr="00363262">
        <w:rPr>
          <w:rFonts w:cs="Calibri"/>
        </w:rPr>
        <w:t>;</w:t>
      </w:r>
    </w:p>
    <w:p w14:paraId="0F0149AA" w14:textId="77777777" w:rsidR="00363262" w:rsidRDefault="0099235F" w:rsidP="00363262">
      <w:pPr>
        <w:pStyle w:val="ListParagraph"/>
        <w:numPr>
          <w:ilvl w:val="0"/>
          <w:numId w:val="14"/>
        </w:numPr>
        <w:autoSpaceDE w:val="0"/>
        <w:autoSpaceDN w:val="0"/>
        <w:adjustRightInd w:val="0"/>
        <w:spacing w:after="0" w:line="240" w:lineRule="auto"/>
        <w:jc w:val="both"/>
        <w:rPr>
          <w:rFonts w:cs="Calibri"/>
        </w:rPr>
      </w:pPr>
      <w:r>
        <w:rPr>
          <w:rFonts w:cs="Calibri"/>
        </w:rPr>
        <w:t>Help improve Practice</w:t>
      </w:r>
      <w:r w:rsidR="00363262" w:rsidRPr="00363262">
        <w:rPr>
          <w:rFonts w:cs="Calibri"/>
        </w:rPr>
        <w:t xml:space="preserve"> performance</w:t>
      </w:r>
      <w:r w:rsidR="00C81D03">
        <w:rPr>
          <w:rFonts w:cs="Calibri"/>
        </w:rPr>
        <w:t xml:space="preserve"> and best practice</w:t>
      </w:r>
      <w:r w:rsidR="00363262" w:rsidRPr="00363262">
        <w:rPr>
          <w:rFonts w:cs="Calibri"/>
        </w:rPr>
        <w:t>;</w:t>
      </w:r>
    </w:p>
    <w:p w14:paraId="3F73C26B" w14:textId="77777777" w:rsidR="00363262" w:rsidRDefault="0099235F" w:rsidP="00363262">
      <w:pPr>
        <w:pStyle w:val="ListParagraph"/>
        <w:numPr>
          <w:ilvl w:val="0"/>
          <w:numId w:val="14"/>
        </w:numPr>
        <w:autoSpaceDE w:val="0"/>
        <w:autoSpaceDN w:val="0"/>
        <w:adjustRightInd w:val="0"/>
        <w:spacing w:after="0" w:line="240" w:lineRule="auto"/>
        <w:jc w:val="both"/>
        <w:rPr>
          <w:rFonts w:cs="Calibri"/>
        </w:rPr>
      </w:pPr>
      <w:r>
        <w:rPr>
          <w:rFonts w:cs="Calibri"/>
        </w:rPr>
        <w:t>Help protect Practice</w:t>
      </w:r>
      <w:r w:rsidR="00363262" w:rsidRPr="00363262">
        <w:rPr>
          <w:rFonts w:cs="Calibri"/>
        </w:rPr>
        <w:t xml:space="preserve"> staff from abusive or nuisance calls;</w:t>
      </w:r>
    </w:p>
    <w:p w14:paraId="56F65D89" w14:textId="77777777" w:rsidR="00363262" w:rsidRDefault="00363262" w:rsidP="00363262">
      <w:pPr>
        <w:pStyle w:val="ListParagraph"/>
        <w:numPr>
          <w:ilvl w:val="0"/>
          <w:numId w:val="14"/>
        </w:numPr>
        <w:autoSpaceDE w:val="0"/>
        <w:autoSpaceDN w:val="0"/>
        <w:adjustRightInd w:val="0"/>
        <w:spacing w:after="0" w:line="240" w:lineRule="auto"/>
        <w:jc w:val="both"/>
        <w:rPr>
          <w:rFonts w:cs="Calibri"/>
        </w:rPr>
      </w:pPr>
      <w:r w:rsidRPr="00363262">
        <w:rPr>
          <w:rFonts w:cs="Calibri"/>
        </w:rPr>
        <w:t xml:space="preserve">Establish the facts in the event of a complaint either by a </w:t>
      </w:r>
      <w:r w:rsidR="0099235F">
        <w:rPr>
          <w:rFonts w:cs="Calibri"/>
        </w:rPr>
        <w:t xml:space="preserve">patient </w:t>
      </w:r>
      <w:r w:rsidRPr="00363262">
        <w:rPr>
          <w:rFonts w:cs="Calibri"/>
        </w:rPr>
        <w:t>or a member of staff and so</w:t>
      </w:r>
      <w:r>
        <w:rPr>
          <w:rFonts w:cs="Calibri"/>
        </w:rPr>
        <w:t xml:space="preserve"> </w:t>
      </w:r>
      <w:r w:rsidRPr="00363262">
        <w:rPr>
          <w:rFonts w:cs="Calibri"/>
        </w:rPr>
        <w:t>assist in resolving it;</w:t>
      </w:r>
    </w:p>
    <w:p w14:paraId="446F225E" w14:textId="77777777" w:rsidR="00363262" w:rsidRDefault="00C81D03" w:rsidP="00363262">
      <w:pPr>
        <w:pStyle w:val="ListParagraph"/>
        <w:numPr>
          <w:ilvl w:val="0"/>
          <w:numId w:val="14"/>
        </w:numPr>
        <w:autoSpaceDE w:val="0"/>
        <w:autoSpaceDN w:val="0"/>
        <w:adjustRightInd w:val="0"/>
        <w:spacing w:after="0" w:line="240" w:lineRule="auto"/>
        <w:jc w:val="both"/>
        <w:rPr>
          <w:rFonts w:cs="Calibri"/>
        </w:rPr>
      </w:pPr>
      <w:r>
        <w:rPr>
          <w:rFonts w:cs="Calibri"/>
        </w:rPr>
        <w:t>Establish the facts and assist in the resolution of any medico-legal claims made against the practice or it clinicians</w:t>
      </w:r>
      <w:r w:rsidR="0099235F">
        <w:rPr>
          <w:rFonts w:cs="Calibri"/>
        </w:rPr>
        <w:t>;</w:t>
      </w:r>
    </w:p>
    <w:p w14:paraId="76864291" w14:textId="77777777" w:rsidR="00363262" w:rsidRPr="00363262" w:rsidRDefault="00363262" w:rsidP="00363262">
      <w:pPr>
        <w:pStyle w:val="ListParagraph"/>
        <w:numPr>
          <w:ilvl w:val="0"/>
          <w:numId w:val="14"/>
        </w:numPr>
        <w:autoSpaceDE w:val="0"/>
        <w:autoSpaceDN w:val="0"/>
        <w:adjustRightInd w:val="0"/>
        <w:spacing w:after="0" w:line="240" w:lineRule="auto"/>
        <w:jc w:val="both"/>
        <w:rPr>
          <w:rFonts w:cs="Calibri"/>
        </w:rPr>
      </w:pPr>
      <w:r w:rsidRPr="00363262">
        <w:rPr>
          <w:rFonts w:cs="Calibri"/>
        </w:rPr>
        <w:t>A call recording may also be used as evidence in the event that an employee’s telephone conduct</w:t>
      </w:r>
      <w:r>
        <w:rPr>
          <w:rFonts w:cs="Calibri"/>
        </w:rPr>
        <w:t xml:space="preserve"> </w:t>
      </w:r>
      <w:r w:rsidRPr="00363262">
        <w:rPr>
          <w:rFonts w:cs="Calibri"/>
        </w:rPr>
        <w:t>is deemed unacceptable. In this situation the recording will be made available to the employee’s</w:t>
      </w:r>
      <w:r>
        <w:rPr>
          <w:rFonts w:cs="Calibri"/>
        </w:rPr>
        <w:t xml:space="preserve"> </w:t>
      </w:r>
      <w:r w:rsidRPr="00363262">
        <w:rPr>
          <w:rFonts w:cs="Calibri"/>
        </w:rPr>
        <w:t xml:space="preserve">manager, to be investigated as per the </w:t>
      </w:r>
      <w:r w:rsidR="0099235F">
        <w:rPr>
          <w:rFonts w:cs="Calibri"/>
        </w:rPr>
        <w:t>Practice Disciplinary Policy</w:t>
      </w:r>
    </w:p>
    <w:p w14:paraId="17B4AD63" w14:textId="77777777" w:rsidR="00363262" w:rsidRDefault="00363262" w:rsidP="00363262">
      <w:pPr>
        <w:autoSpaceDE w:val="0"/>
        <w:autoSpaceDN w:val="0"/>
        <w:adjustRightInd w:val="0"/>
        <w:spacing w:after="0" w:line="240" w:lineRule="auto"/>
        <w:jc w:val="both"/>
        <w:rPr>
          <w:rFonts w:cs="Calibri"/>
        </w:rPr>
      </w:pPr>
    </w:p>
    <w:p w14:paraId="096C7A6C" w14:textId="77777777" w:rsidR="00363262" w:rsidRPr="00200D60" w:rsidRDefault="00363262" w:rsidP="00363262">
      <w:pPr>
        <w:autoSpaceDE w:val="0"/>
        <w:autoSpaceDN w:val="0"/>
        <w:adjustRightInd w:val="0"/>
        <w:spacing w:after="0" w:line="240" w:lineRule="auto"/>
        <w:ind w:left="426"/>
        <w:jc w:val="both"/>
        <w:rPr>
          <w:rFonts w:cs="Calibri"/>
        </w:rPr>
      </w:pPr>
      <w:r w:rsidRPr="00200D60">
        <w:rPr>
          <w:rFonts w:cs="Calibri"/>
        </w:rPr>
        <w:t xml:space="preserve">The telephone call recording system in operation will record incoming and outgoing telephone calls and recordings may be used to investigate compliance with the </w:t>
      </w:r>
      <w:r w:rsidR="00200D60" w:rsidRPr="00200D60">
        <w:rPr>
          <w:rFonts w:cs="Calibri"/>
        </w:rPr>
        <w:t>Practice’s policies and procedures</w:t>
      </w:r>
      <w:r w:rsidRPr="00200D60">
        <w:rPr>
          <w:rFonts w:cs="Calibri"/>
        </w:rPr>
        <w:t xml:space="preserve">, to provide further training, to support the investigation of complaints, to ensure </w:t>
      </w:r>
      <w:r w:rsidR="00200D60" w:rsidRPr="00200D60">
        <w:rPr>
          <w:rFonts w:cs="Calibri"/>
        </w:rPr>
        <w:t>the Practice</w:t>
      </w:r>
      <w:r w:rsidRPr="00200D60">
        <w:rPr>
          <w:rFonts w:cs="Calibri"/>
        </w:rPr>
        <w:t xml:space="preserve"> complies with regulatory procedures and to provide evidence for any regulatory investigation.</w:t>
      </w:r>
    </w:p>
    <w:p w14:paraId="21A13157" w14:textId="77777777" w:rsidR="00363262" w:rsidRPr="00200D60" w:rsidRDefault="00363262" w:rsidP="00363262">
      <w:pPr>
        <w:autoSpaceDE w:val="0"/>
        <w:autoSpaceDN w:val="0"/>
        <w:adjustRightInd w:val="0"/>
        <w:spacing w:after="0" w:line="240" w:lineRule="auto"/>
        <w:ind w:left="426"/>
        <w:jc w:val="both"/>
        <w:rPr>
          <w:rFonts w:cs="Calibri"/>
        </w:rPr>
      </w:pPr>
    </w:p>
    <w:p w14:paraId="3FEEA19C" w14:textId="587C84F0" w:rsidR="00363262" w:rsidRDefault="00BC5D23" w:rsidP="00363262">
      <w:pPr>
        <w:autoSpaceDE w:val="0"/>
        <w:autoSpaceDN w:val="0"/>
        <w:adjustRightInd w:val="0"/>
        <w:spacing w:after="0" w:line="240" w:lineRule="auto"/>
        <w:ind w:left="426"/>
        <w:jc w:val="both"/>
        <w:rPr>
          <w:rFonts w:cs="Calibri"/>
        </w:rPr>
      </w:pPr>
      <w:r w:rsidRPr="00200D60">
        <w:rPr>
          <w:rFonts w:cs="Calibri"/>
        </w:rPr>
        <w:t>The Practice</w:t>
      </w:r>
      <w:r w:rsidR="00363262" w:rsidRPr="00200D60">
        <w:rPr>
          <w:rFonts w:cs="Calibri"/>
        </w:rPr>
        <w:t xml:space="preserve"> will record telephone conversations from its central telephone system. All call recordings are</w:t>
      </w:r>
      <w:r w:rsidR="00200D60" w:rsidRPr="00200D60">
        <w:rPr>
          <w:rFonts w:cs="Calibri"/>
        </w:rPr>
        <w:t xml:space="preserve"> encrypted and</w:t>
      </w:r>
      <w:r w:rsidR="00363262" w:rsidRPr="00200D60">
        <w:rPr>
          <w:rFonts w:cs="Calibri"/>
        </w:rPr>
        <w:t xml:space="preserve"> stored on </w:t>
      </w:r>
      <w:r w:rsidR="00200D60" w:rsidRPr="00200D60">
        <w:rPr>
          <w:rFonts w:cs="Calibri"/>
        </w:rPr>
        <w:t>a secure</w:t>
      </w:r>
      <w:r w:rsidR="00363262" w:rsidRPr="00200D60">
        <w:rPr>
          <w:rFonts w:cs="Calibri"/>
        </w:rPr>
        <w:t xml:space="preserve"> server </w:t>
      </w:r>
      <w:r w:rsidR="00200D60" w:rsidRPr="00200D60">
        <w:rPr>
          <w:rFonts w:cs="Calibri"/>
        </w:rPr>
        <w:t>at the system provider’s headquarters.</w:t>
      </w:r>
    </w:p>
    <w:p w14:paraId="3C04CB9F" w14:textId="1A49C6E1" w:rsidR="00202779" w:rsidRDefault="00202779">
      <w:pPr>
        <w:rPr>
          <w:rFonts w:cs="Calibri"/>
        </w:rPr>
      </w:pPr>
      <w:r>
        <w:rPr>
          <w:rFonts w:cs="Calibri"/>
        </w:rPr>
        <w:br w:type="page"/>
      </w:r>
    </w:p>
    <w:p w14:paraId="40BAB0B1" w14:textId="77777777" w:rsidR="0002234A" w:rsidRPr="0002234A" w:rsidRDefault="0002234A" w:rsidP="00363262">
      <w:pPr>
        <w:pStyle w:val="ListParagraph"/>
        <w:spacing w:after="0"/>
        <w:ind w:left="360"/>
        <w:jc w:val="both"/>
      </w:pPr>
    </w:p>
    <w:p w14:paraId="55195A08" w14:textId="77777777" w:rsidR="0002234A" w:rsidRDefault="0002234A" w:rsidP="0002234A">
      <w:pPr>
        <w:pStyle w:val="ListParagraph"/>
        <w:numPr>
          <w:ilvl w:val="0"/>
          <w:numId w:val="13"/>
        </w:numPr>
        <w:spacing w:after="0"/>
        <w:jc w:val="both"/>
        <w:rPr>
          <w:b/>
        </w:rPr>
      </w:pPr>
      <w:r w:rsidRPr="0002234A">
        <w:rPr>
          <w:b/>
        </w:rPr>
        <w:t>Communicating the Call Recording System</w:t>
      </w:r>
    </w:p>
    <w:p w14:paraId="489FB5AE" w14:textId="7E2FF254" w:rsidR="00363262" w:rsidRDefault="00BC5D23" w:rsidP="00363262">
      <w:pPr>
        <w:pStyle w:val="ListParagraph"/>
        <w:spacing w:after="0"/>
        <w:ind w:left="360"/>
        <w:jc w:val="both"/>
        <w:rPr>
          <w:rFonts w:ascii="Calibri" w:hAnsi="Calibri" w:cs="Calibri"/>
          <w:color w:val="000000"/>
        </w:rPr>
      </w:pPr>
      <w:r>
        <w:rPr>
          <w:rFonts w:ascii="Calibri" w:hAnsi="Calibri" w:cs="Calibri"/>
          <w:color w:val="000000"/>
        </w:rPr>
        <w:t>The Practice</w:t>
      </w:r>
      <w:r w:rsidR="00363262">
        <w:rPr>
          <w:rFonts w:ascii="Calibri" w:hAnsi="Calibri" w:cs="Calibri"/>
          <w:color w:val="000000"/>
        </w:rPr>
        <w:t xml:space="preserve"> will </w:t>
      </w:r>
      <w:r w:rsidR="00226A45">
        <w:rPr>
          <w:rFonts w:ascii="Calibri" w:hAnsi="Calibri" w:cs="Calibri"/>
          <w:color w:val="000000"/>
        </w:rPr>
        <w:t xml:space="preserve">inform the caller that their call is being monitored/recorded for the reasons stated above so that they have the opportunity to consent by continuing with the call or hanging up. </w:t>
      </w:r>
      <w:r w:rsidR="00514AC2">
        <w:rPr>
          <w:rFonts w:ascii="Calibri" w:hAnsi="Calibri" w:cs="Calibri"/>
          <w:color w:val="000000"/>
        </w:rPr>
        <w:t xml:space="preserve"> </w:t>
      </w:r>
      <w:r w:rsidR="00226A45">
        <w:rPr>
          <w:rFonts w:ascii="Calibri" w:hAnsi="Calibri" w:cs="Calibri"/>
          <w:color w:val="000000"/>
        </w:rPr>
        <w:t>This will be communicated to patients by:</w:t>
      </w:r>
    </w:p>
    <w:p w14:paraId="3209A6B5" w14:textId="77777777" w:rsidR="00363262" w:rsidRPr="00363262" w:rsidRDefault="00363262" w:rsidP="00363262">
      <w:pPr>
        <w:pStyle w:val="ListParagraph"/>
        <w:numPr>
          <w:ilvl w:val="0"/>
          <w:numId w:val="15"/>
        </w:numPr>
        <w:spacing w:after="0"/>
        <w:jc w:val="both"/>
      </w:pPr>
      <w:r>
        <w:rPr>
          <w:rFonts w:ascii="Calibri" w:hAnsi="Calibri" w:cs="Calibri"/>
          <w:color w:val="000000"/>
        </w:rPr>
        <w:t xml:space="preserve">Publishing </w:t>
      </w:r>
      <w:r w:rsidR="00226A45">
        <w:rPr>
          <w:rFonts w:ascii="Calibri" w:hAnsi="Calibri" w:cs="Calibri"/>
          <w:color w:val="000000"/>
        </w:rPr>
        <w:t xml:space="preserve">a summary of </w:t>
      </w:r>
      <w:r>
        <w:rPr>
          <w:rFonts w:ascii="Calibri" w:hAnsi="Calibri" w:cs="Calibri"/>
          <w:color w:val="000000"/>
        </w:rPr>
        <w:t>this policy</w:t>
      </w:r>
      <w:r w:rsidR="00226A45">
        <w:rPr>
          <w:rFonts w:ascii="Calibri" w:hAnsi="Calibri" w:cs="Calibri"/>
          <w:color w:val="000000"/>
        </w:rPr>
        <w:t xml:space="preserve"> on the Practice website</w:t>
      </w:r>
    </w:p>
    <w:p w14:paraId="374D4712" w14:textId="77777777" w:rsidR="00363262" w:rsidRPr="00363262" w:rsidRDefault="00226A45" w:rsidP="00363262">
      <w:pPr>
        <w:pStyle w:val="ListParagraph"/>
        <w:numPr>
          <w:ilvl w:val="0"/>
          <w:numId w:val="15"/>
        </w:numPr>
        <w:spacing w:after="0"/>
        <w:jc w:val="both"/>
      </w:pPr>
      <w:r>
        <w:rPr>
          <w:rFonts w:ascii="Calibri" w:hAnsi="Calibri" w:cs="Calibri"/>
          <w:color w:val="000000"/>
        </w:rPr>
        <w:t>Informing all patients</w:t>
      </w:r>
      <w:r w:rsidR="00363262" w:rsidRPr="00363262">
        <w:rPr>
          <w:rFonts w:ascii="Calibri" w:hAnsi="Calibri" w:cs="Calibri"/>
          <w:color w:val="000000"/>
        </w:rPr>
        <w:t xml:space="preserve"> in the first instance via a recorded </w:t>
      </w:r>
      <w:r w:rsidR="00471B68">
        <w:rPr>
          <w:rFonts w:ascii="Calibri" w:hAnsi="Calibri" w:cs="Calibri"/>
          <w:color w:val="000000"/>
        </w:rPr>
        <w:t>announcement for i</w:t>
      </w:r>
      <w:r>
        <w:rPr>
          <w:rFonts w:ascii="Calibri" w:hAnsi="Calibri" w:cs="Calibri"/>
          <w:color w:val="000000"/>
        </w:rPr>
        <w:t>ncoming calls</w:t>
      </w:r>
    </w:p>
    <w:p w14:paraId="2DD815FC" w14:textId="77777777" w:rsidR="00363262" w:rsidRPr="00363262" w:rsidRDefault="00363262" w:rsidP="00363262">
      <w:pPr>
        <w:autoSpaceDE w:val="0"/>
        <w:autoSpaceDN w:val="0"/>
        <w:adjustRightInd w:val="0"/>
        <w:spacing w:after="0" w:line="240" w:lineRule="auto"/>
        <w:rPr>
          <w:rFonts w:ascii="Calibri" w:hAnsi="Calibri" w:cs="Calibri"/>
          <w:color w:val="000000"/>
        </w:rPr>
      </w:pPr>
    </w:p>
    <w:p w14:paraId="55D03026" w14:textId="77777777" w:rsidR="0002234A" w:rsidRDefault="0002234A" w:rsidP="0002234A">
      <w:pPr>
        <w:pStyle w:val="ListParagraph"/>
        <w:numPr>
          <w:ilvl w:val="0"/>
          <w:numId w:val="13"/>
        </w:numPr>
        <w:spacing w:after="0"/>
        <w:jc w:val="both"/>
        <w:rPr>
          <w:b/>
        </w:rPr>
      </w:pPr>
      <w:r w:rsidRPr="0002234A">
        <w:rPr>
          <w:b/>
        </w:rPr>
        <w:t>Procedures for managing and releasing call recordings</w:t>
      </w:r>
    </w:p>
    <w:p w14:paraId="2ED40636" w14:textId="77777777" w:rsidR="00363262" w:rsidRPr="00363262" w:rsidRDefault="00363262" w:rsidP="00363262">
      <w:pPr>
        <w:pStyle w:val="ListParagraph"/>
        <w:numPr>
          <w:ilvl w:val="0"/>
          <w:numId w:val="16"/>
        </w:numPr>
        <w:spacing w:after="0"/>
        <w:jc w:val="both"/>
      </w:pPr>
      <w:r>
        <w:rPr>
          <w:rFonts w:ascii="Calibri" w:hAnsi="Calibri" w:cs="Calibri"/>
        </w:rPr>
        <w:t xml:space="preserve">The recordings shall be stored securely, with access to the recordings controlled and managed by </w:t>
      </w:r>
      <w:r w:rsidRPr="00363262">
        <w:rPr>
          <w:rFonts w:ascii="Calibri" w:hAnsi="Calibri" w:cs="Calibri"/>
        </w:rPr>
        <w:t xml:space="preserve">the Data Controller or any other persons authorised </w:t>
      </w:r>
      <w:r>
        <w:rPr>
          <w:rFonts w:ascii="Calibri" w:hAnsi="Calibri" w:cs="Calibri"/>
        </w:rPr>
        <w:t>to do so by the Data Controller</w:t>
      </w:r>
    </w:p>
    <w:p w14:paraId="16FF0862" w14:textId="77777777" w:rsidR="00363262" w:rsidRPr="00363262" w:rsidRDefault="00363262" w:rsidP="00363262">
      <w:pPr>
        <w:pStyle w:val="ListParagraph"/>
        <w:numPr>
          <w:ilvl w:val="0"/>
          <w:numId w:val="16"/>
        </w:numPr>
        <w:spacing w:after="0"/>
        <w:jc w:val="both"/>
      </w:pPr>
      <w:r w:rsidRPr="00363262">
        <w:rPr>
          <w:rFonts w:ascii="Calibri" w:hAnsi="Calibri" w:cs="Calibri"/>
        </w:rPr>
        <w:t>Access to the recordings is only allowed to satisfy a clearly defined business need and reasons for</w:t>
      </w:r>
      <w:r>
        <w:rPr>
          <w:rFonts w:ascii="Calibri" w:hAnsi="Calibri" w:cs="Calibri"/>
        </w:rPr>
        <w:t xml:space="preserve"> </w:t>
      </w:r>
      <w:r w:rsidRPr="00363262">
        <w:rPr>
          <w:rFonts w:ascii="Calibri" w:hAnsi="Calibri" w:cs="Calibri"/>
        </w:rPr>
        <w:t xml:space="preserve">requesting access must be formally authorised only by a relevant </w:t>
      </w:r>
      <w:r w:rsidR="00512AB7">
        <w:rPr>
          <w:rFonts w:ascii="Calibri" w:hAnsi="Calibri" w:cs="Calibri"/>
        </w:rPr>
        <w:t>Partner or Manager.</w:t>
      </w:r>
      <w:r w:rsidRPr="00363262">
        <w:rPr>
          <w:rFonts w:ascii="Calibri" w:hAnsi="Calibri" w:cs="Calibri"/>
        </w:rPr>
        <w:t xml:space="preserve"> All</w:t>
      </w:r>
      <w:r>
        <w:rPr>
          <w:rFonts w:ascii="Calibri" w:hAnsi="Calibri" w:cs="Calibri"/>
        </w:rPr>
        <w:t xml:space="preserve"> </w:t>
      </w:r>
      <w:r w:rsidRPr="00363262">
        <w:rPr>
          <w:rFonts w:ascii="Calibri" w:hAnsi="Calibri" w:cs="Calibri"/>
        </w:rPr>
        <w:t>requests for call recordings should include the following:</w:t>
      </w:r>
    </w:p>
    <w:p w14:paraId="50F14502" w14:textId="77777777" w:rsidR="00512AB7" w:rsidRDefault="00363262" w:rsidP="00363262">
      <w:pPr>
        <w:pStyle w:val="ListParagraph"/>
        <w:numPr>
          <w:ilvl w:val="0"/>
          <w:numId w:val="18"/>
        </w:numPr>
        <w:autoSpaceDE w:val="0"/>
        <w:autoSpaceDN w:val="0"/>
        <w:adjustRightInd w:val="0"/>
        <w:spacing w:after="0" w:line="240" w:lineRule="auto"/>
        <w:rPr>
          <w:rFonts w:ascii="Calibri" w:hAnsi="Calibri" w:cs="Calibri"/>
        </w:rPr>
      </w:pPr>
      <w:r w:rsidRPr="00363262">
        <w:rPr>
          <w:rFonts w:ascii="Calibri" w:hAnsi="Calibri" w:cs="Calibri"/>
        </w:rPr>
        <w:t>The valid reason for the request</w:t>
      </w:r>
    </w:p>
    <w:p w14:paraId="52F13A69" w14:textId="77777777" w:rsidR="00363262" w:rsidRDefault="00363262" w:rsidP="00363262">
      <w:pPr>
        <w:pStyle w:val="ListParagraph"/>
        <w:numPr>
          <w:ilvl w:val="0"/>
          <w:numId w:val="18"/>
        </w:numPr>
        <w:autoSpaceDE w:val="0"/>
        <w:autoSpaceDN w:val="0"/>
        <w:adjustRightInd w:val="0"/>
        <w:spacing w:after="0" w:line="240" w:lineRule="auto"/>
        <w:rPr>
          <w:rFonts w:ascii="Calibri" w:hAnsi="Calibri" w:cs="Calibri"/>
        </w:rPr>
      </w:pPr>
      <w:r w:rsidRPr="00363262">
        <w:rPr>
          <w:rFonts w:ascii="Calibri" w:hAnsi="Calibri" w:cs="Calibri"/>
        </w:rPr>
        <w:t>Dat</w:t>
      </w:r>
      <w:r>
        <w:rPr>
          <w:rFonts w:ascii="Calibri" w:hAnsi="Calibri" w:cs="Calibri"/>
        </w:rPr>
        <w:t>e and time of the call if known</w:t>
      </w:r>
    </w:p>
    <w:p w14:paraId="0B5AC270" w14:textId="77777777" w:rsidR="00363262" w:rsidRDefault="00363262" w:rsidP="00363262">
      <w:pPr>
        <w:pStyle w:val="ListParagraph"/>
        <w:numPr>
          <w:ilvl w:val="0"/>
          <w:numId w:val="18"/>
        </w:numPr>
        <w:autoSpaceDE w:val="0"/>
        <w:autoSpaceDN w:val="0"/>
        <w:adjustRightInd w:val="0"/>
        <w:spacing w:after="0" w:line="240" w:lineRule="auto"/>
        <w:rPr>
          <w:rFonts w:ascii="Calibri" w:hAnsi="Calibri" w:cs="Calibri"/>
        </w:rPr>
      </w:pPr>
      <w:r w:rsidRPr="00363262">
        <w:rPr>
          <w:rFonts w:ascii="Calibri" w:hAnsi="Calibri" w:cs="Calibri"/>
        </w:rPr>
        <w:t>Telephone extensio</w:t>
      </w:r>
      <w:r>
        <w:rPr>
          <w:rFonts w:ascii="Calibri" w:hAnsi="Calibri" w:cs="Calibri"/>
        </w:rPr>
        <w:t>n used to make/receive the call</w:t>
      </w:r>
    </w:p>
    <w:p w14:paraId="33E1F291" w14:textId="77777777" w:rsidR="00363262" w:rsidRDefault="00363262" w:rsidP="00363262">
      <w:pPr>
        <w:pStyle w:val="ListParagraph"/>
        <w:numPr>
          <w:ilvl w:val="0"/>
          <w:numId w:val="18"/>
        </w:numPr>
        <w:autoSpaceDE w:val="0"/>
        <w:autoSpaceDN w:val="0"/>
        <w:adjustRightInd w:val="0"/>
        <w:spacing w:after="0" w:line="240" w:lineRule="auto"/>
        <w:rPr>
          <w:rFonts w:ascii="Calibri" w:hAnsi="Calibri" w:cs="Calibri"/>
        </w:rPr>
      </w:pPr>
      <w:r w:rsidRPr="00363262">
        <w:rPr>
          <w:rFonts w:ascii="Calibri" w:hAnsi="Calibri" w:cs="Calibri"/>
        </w:rPr>
        <w:t>Ex</w:t>
      </w:r>
      <w:r>
        <w:rPr>
          <w:rFonts w:ascii="Calibri" w:hAnsi="Calibri" w:cs="Calibri"/>
        </w:rPr>
        <w:t>ternal number involved if known</w:t>
      </w:r>
    </w:p>
    <w:p w14:paraId="7E238122" w14:textId="77777777" w:rsidR="00363262" w:rsidRDefault="00363262" w:rsidP="00363262">
      <w:pPr>
        <w:pStyle w:val="ListParagraph"/>
        <w:numPr>
          <w:ilvl w:val="0"/>
          <w:numId w:val="18"/>
        </w:numPr>
        <w:autoSpaceDE w:val="0"/>
        <w:autoSpaceDN w:val="0"/>
        <w:adjustRightInd w:val="0"/>
        <w:spacing w:after="0" w:line="240" w:lineRule="auto"/>
        <w:rPr>
          <w:rFonts w:ascii="Calibri" w:hAnsi="Calibri" w:cs="Calibri"/>
        </w:rPr>
      </w:pPr>
      <w:r w:rsidRPr="00363262">
        <w:rPr>
          <w:rFonts w:ascii="Calibri" w:hAnsi="Calibri" w:cs="Calibri"/>
        </w:rPr>
        <w:t>Where possible, the names of al</w:t>
      </w:r>
      <w:r>
        <w:rPr>
          <w:rFonts w:ascii="Calibri" w:hAnsi="Calibri" w:cs="Calibri"/>
        </w:rPr>
        <w:t>l parties to the telephone call</w:t>
      </w:r>
    </w:p>
    <w:p w14:paraId="331DFB1A" w14:textId="77777777" w:rsidR="00363262" w:rsidRPr="00363262" w:rsidRDefault="00363262" w:rsidP="00363262">
      <w:pPr>
        <w:pStyle w:val="ListParagraph"/>
        <w:numPr>
          <w:ilvl w:val="0"/>
          <w:numId w:val="18"/>
        </w:numPr>
        <w:autoSpaceDE w:val="0"/>
        <w:autoSpaceDN w:val="0"/>
        <w:adjustRightInd w:val="0"/>
        <w:spacing w:after="0" w:line="240" w:lineRule="auto"/>
        <w:rPr>
          <w:rFonts w:ascii="Calibri" w:hAnsi="Calibri" w:cs="Calibri"/>
        </w:rPr>
      </w:pPr>
      <w:r w:rsidRPr="00363262">
        <w:rPr>
          <w:rFonts w:ascii="Calibri" w:hAnsi="Calibri" w:cs="Calibri"/>
        </w:rPr>
        <w:t>Any other inform</w:t>
      </w:r>
      <w:r>
        <w:rPr>
          <w:rFonts w:ascii="Calibri" w:hAnsi="Calibri" w:cs="Calibri"/>
        </w:rPr>
        <w:t>ation on the nature of the call</w:t>
      </w:r>
    </w:p>
    <w:p w14:paraId="2036D0C4" w14:textId="77777777" w:rsidR="00363262" w:rsidRPr="00363262" w:rsidRDefault="00363262" w:rsidP="00363262">
      <w:pPr>
        <w:pStyle w:val="ListParagraph"/>
        <w:numPr>
          <w:ilvl w:val="0"/>
          <w:numId w:val="16"/>
        </w:numPr>
        <w:spacing w:after="0"/>
        <w:jc w:val="both"/>
      </w:pPr>
      <w:r w:rsidRPr="00363262">
        <w:rPr>
          <w:rFonts w:ascii="Calibri" w:hAnsi="Calibri" w:cs="Calibri"/>
        </w:rPr>
        <w:t xml:space="preserve">The </w:t>
      </w:r>
      <w:r>
        <w:rPr>
          <w:rFonts w:ascii="Calibri" w:hAnsi="Calibri" w:cs="Calibri"/>
        </w:rPr>
        <w:t>browsing of recordings for no valid reason is not permitted</w:t>
      </w:r>
    </w:p>
    <w:p w14:paraId="71F3AB25" w14:textId="36D9C307" w:rsidR="00363262" w:rsidRPr="00363262" w:rsidRDefault="00363262" w:rsidP="00363262">
      <w:pPr>
        <w:pStyle w:val="ListParagraph"/>
        <w:numPr>
          <w:ilvl w:val="0"/>
          <w:numId w:val="16"/>
        </w:numPr>
        <w:spacing w:after="0"/>
        <w:jc w:val="both"/>
      </w:pPr>
      <w:r w:rsidRPr="00363262">
        <w:rPr>
          <w:rFonts w:ascii="Calibri" w:hAnsi="Calibri" w:cs="Calibri"/>
        </w:rPr>
        <w:t xml:space="preserve">The </w:t>
      </w:r>
      <w:r w:rsidR="00202779">
        <w:rPr>
          <w:rFonts w:ascii="Calibri" w:hAnsi="Calibri" w:cs="Calibri"/>
        </w:rPr>
        <w:t>UK GDPR</w:t>
      </w:r>
      <w:r w:rsidRPr="00363262">
        <w:rPr>
          <w:rFonts w:ascii="Calibri" w:hAnsi="Calibri" w:cs="Calibri"/>
        </w:rPr>
        <w:t xml:space="preserve"> allows persons access to information that we hold about them. This includes recorded</w:t>
      </w:r>
      <w:r>
        <w:rPr>
          <w:rFonts w:ascii="Calibri" w:hAnsi="Calibri" w:cs="Calibri"/>
        </w:rPr>
        <w:t xml:space="preserve"> </w:t>
      </w:r>
      <w:r w:rsidRPr="00363262">
        <w:rPr>
          <w:rFonts w:ascii="Calibri" w:hAnsi="Calibri" w:cs="Calibri"/>
        </w:rPr>
        <w:t>telephone calls. Therefore, the recordings will be stored in such a way to enable the Data Controller</w:t>
      </w:r>
      <w:r>
        <w:rPr>
          <w:rFonts w:ascii="Calibri" w:hAnsi="Calibri" w:cs="Calibri"/>
        </w:rPr>
        <w:t xml:space="preserve"> </w:t>
      </w:r>
      <w:r w:rsidRPr="00363262">
        <w:rPr>
          <w:rFonts w:ascii="Calibri" w:hAnsi="Calibri" w:cs="Calibri"/>
        </w:rPr>
        <w:t>to retrieve information relating to one or more in</w:t>
      </w:r>
      <w:r>
        <w:rPr>
          <w:rFonts w:ascii="Calibri" w:hAnsi="Calibri" w:cs="Calibri"/>
        </w:rPr>
        <w:t>dividuals as easily as possible</w:t>
      </w:r>
    </w:p>
    <w:p w14:paraId="2BF99045" w14:textId="5B1BBFA1" w:rsidR="00363262" w:rsidRPr="00363262" w:rsidRDefault="00363262" w:rsidP="00363262">
      <w:pPr>
        <w:pStyle w:val="ListParagraph"/>
        <w:numPr>
          <w:ilvl w:val="0"/>
          <w:numId w:val="16"/>
        </w:numPr>
        <w:spacing w:after="0"/>
        <w:jc w:val="both"/>
      </w:pPr>
      <w:r w:rsidRPr="00363262">
        <w:rPr>
          <w:rFonts w:ascii="Calibri" w:hAnsi="Calibri" w:cs="Calibri"/>
        </w:rPr>
        <w:t xml:space="preserve">Requests for copies of telephone conversations made as Subject Access Requests under the </w:t>
      </w:r>
      <w:r w:rsidR="00202779">
        <w:rPr>
          <w:rFonts w:ascii="Calibri" w:hAnsi="Calibri" w:cs="Calibri"/>
        </w:rPr>
        <w:t>UK GDPR</w:t>
      </w:r>
      <w:r>
        <w:rPr>
          <w:rFonts w:ascii="Calibri" w:hAnsi="Calibri" w:cs="Calibri"/>
        </w:rPr>
        <w:t xml:space="preserve"> </w:t>
      </w:r>
      <w:r w:rsidRPr="00363262">
        <w:rPr>
          <w:rFonts w:ascii="Calibri" w:hAnsi="Calibri" w:cs="Calibri"/>
        </w:rPr>
        <w:t xml:space="preserve">must be notified in writing to the </w:t>
      </w:r>
      <w:r w:rsidR="00512AB7">
        <w:rPr>
          <w:rFonts w:ascii="Calibri" w:hAnsi="Calibri" w:cs="Calibri"/>
        </w:rPr>
        <w:t>Practice</w:t>
      </w:r>
      <w:r w:rsidRPr="00363262">
        <w:rPr>
          <w:rFonts w:ascii="Calibri" w:hAnsi="Calibri" w:cs="Calibri"/>
        </w:rPr>
        <w:t xml:space="preserve"> immediately and, subject to assessment, he/she</w:t>
      </w:r>
      <w:r>
        <w:rPr>
          <w:rFonts w:ascii="Calibri" w:hAnsi="Calibri" w:cs="Calibri"/>
        </w:rPr>
        <w:t xml:space="preserve"> </w:t>
      </w:r>
      <w:r w:rsidRPr="00363262">
        <w:rPr>
          <w:rFonts w:ascii="Calibri" w:hAnsi="Calibri" w:cs="Calibri"/>
        </w:rPr>
        <w:t>will request the call recording and arrange for the individual concerned to have access to hear the</w:t>
      </w:r>
      <w:r>
        <w:rPr>
          <w:rFonts w:ascii="Calibri" w:hAnsi="Calibri" w:cs="Calibri"/>
        </w:rPr>
        <w:t xml:space="preserve"> </w:t>
      </w:r>
      <w:r w:rsidRPr="00363262">
        <w:rPr>
          <w:rFonts w:ascii="Calibri" w:hAnsi="Calibri" w:cs="Calibri"/>
        </w:rPr>
        <w:t>recordi</w:t>
      </w:r>
      <w:r>
        <w:rPr>
          <w:rFonts w:ascii="Calibri" w:hAnsi="Calibri" w:cs="Calibri"/>
        </w:rPr>
        <w:t>ng</w:t>
      </w:r>
    </w:p>
    <w:p w14:paraId="20207B37" w14:textId="77777777" w:rsidR="00363262" w:rsidRPr="00363262" w:rsidRDefault="00363262" w:rsidP="00363262">
      <w:pPr>
        <w:pStyle w:val="ListParagraph"/>
        <w:numPr>
          <w:ilvl w:val="0"/>
          <w:numId w:val="16"/>
        </w:numPr>
        <w:spacing w:after="0"/>
        <w:jc w:val="both"/>
      </w:pPr>
      <w:r w:rsidRPr="00363262">
        <w:rPr>
          <w:rFonts w:ascii="Calibri" w:hAnsi="Calibri" w:cs="Calibri"/>
        </w:rPr>
        <w:t>In the case of a request from an external body in connection with the detection or prevention of</w:t>
      </w:r>
      <w:r>
        <w:rPr>
          <w:rFonts w:ascii="Calibri" w:hAnsi="Calibri" w:cs="Calibri"/>
        </w:rPr>
        <w:t xml:space="preserve"> </w:t>
      </w:r>
      <w:r w:rsidRPr="00363262">
        <w:rPr>
          <w:rFonts w:ascii="Calibri" w:hAnsi="Calibri" w:cs="Calibri"/>
        </w:rPr>
        <w:t>crime e.g. the Police, the request should be forwarded to the Data Controller who will complete the</w:t>
      </w:r>
      <w:r>
        <w:rPr>
          <w:rFonts w:ascii="Calibri" w:hAnsi="Calibri" w:cs="Calibri"/>
        </w:rPr>
        <w:t xml:space="preserve"> request for a call recording</w:t>
      </w:r>
    </w:p>
    <w:p w14:paraId="19239FC9" w14:textId="77777777" w:rsidR="00366D33" w:rsidRPr="00363262" w:rsidRDefault="00363262" w:rsidP="00363262">
      <w:pPr>
        <w:pStyle w:val="ListParagraph"/>
        <w:numPr>
          <w:ilvl w:val="0"/>
          <w:numId w:val="16"/>
        </w:numPr>
        <w:spacing w:after="0"/>
        <w:jc w:val="both"/>
      </w:pPr>
      <w:r w:rsidRPr="00363262">
        <w:rPr>
          <w:rFonts w:ascii="Calibri" w:hAnsi="Calibri" w:cs="Calibri"/>
        </w:rPr>
        <w:t>Requests for copies of telephone conversations as part of staff disciplinary processes will only be</w:t>
      </w:r>
      <w:r>
        <w:rPr>
          <w:rFonts w:ascii="Calibri" w:hAnsi="Calibri" w:cs="Calibri"/>
        </w:rPr>
        <w:t xml:space="preserve"> </w:t>
      </w:r>
      <w:r w:rsidRPr="00363262">
        <w:rPr>
          <w:rFonts w:ascii="Calibri" w:hAnsi="Calibri" w:cs="Calibri"/>
        </w:rPr>
        <w:t>released with the written agreement of the Data Controller, or any other person authorised by the</w:t>
      </w:r>
      <w:r>
        <w:rPr>
          <w:rFonts w:ascii="Calibri" w:hAnsi="Calibri" w:cs="Calibri"/>
        </w:rPr>
        <w:t xml:space="preserve"> </w:t>
      </w:r>
      <w:r w:rsidRPr="00363262">
        <w:rPr>
          <w:rFonts w:ascii="Calibri" w:hAnsi="Calibri" w:cs="Calibri"/>
        </w:rPr>
        <w:t>Data Controller, who will consult with the Data Controller before approval is</w:t>
      </w:r>
      <w:r>
        <w:rPr>
          <w:rFonts w:ascii="Calibri" w:hAnsi="Calibri" w:cs="Calibri"/>
        </w:rPr>
        <w:t xml:space="preserve"> granted</w:t>
      </w:r>
    </w:p>
    <w:p w14:paraId="06B59B58" w14:textId="77777777" w:rsidR="00363262" w:rsidRPr="00363262" w:rsidRDefault="00363262" w:rsidP="00363262">
      <w:pPr>
        <w:pStyle w:val="ListParagraph"/>
        <w:numPr>
          <w:ilvl w:val="0"/>
          <w:numId w:val="16"/>
        </w:numPr>
        <w:autoSpaceDE w:val="0"/>
        <w:autoSpaceDN w:val="0"/>
        <w:adjustRightInd w:val="0"/>
        <w:spacing w:after="0" w:line="240" w:lineRule="auto"/>
        <w:rPr>
          <w:rFonts w:ascii="Calibri" w:hAnsi="Calibri" w:cs="Calibri"/>
        </w:rPr>
      </w:pPr>
      <w:r w:rsidRPr="00363262">
        <w:rPr>
          <w:rFonts w:ascii="Calibri" w:hAnsi="Calibri" w:cs="Calibri"/>
        </w:rPr>
        <w:t>Recordings of calls will be encrypted and stored electronically in a secure environment. Call</w:t>
      </w:r>
      <w:r>
        <w:rPr>
          <w:rFonts w:ascii="Calibri" w:hAnsi="Calibri" w:cs="Calibri"/>
        </w:rPr>
        <w:t xml:space="preserve"> </w:t>
      </w:r>
      <w:r w:rsidRPr="00363262">
        <w:rPr>
          <w:rFonts w:ascii="Calibri" w:hAnsi="Calibri" w:cs="Calibri"/>
        </w:rPr>
        <w:t>recordings will periodically be archived, in line with electronic and paper file archiving time scales, to</w:t>
      </w:r>
      <w:r>
        <w:rPr>
          <w:rFonts w:ascii="Calibri" w:hAnsi="Calibri" w:cs="Calibri"/>
        </w:rPr>
        <w:t xml:space="preserve"> </w:t>
      </w:r>
      <w:r w:rsidRPr="00363262">
        <w:rPr>
          <w:rFonts w:ascii="Calibri" w:hAnsi="Calibri" w:cs="Calibri"/>
        </w:rPr>
        <w:t>externa</w:t>
      </w:r>
      <w:r>
        <w:rPr>
          <w:rFonts w:ascii="Calibri" w:hAnsi="Calibri" w:cs="Calibri"/>
        </w:rPr>
        <w:t>l hard drives</w:t>
      </w:r>
    </w:p>
    <w:p w14:paraId="001530BA" w14:textId="52936665" w:rsidR="00363262" w:rsidRDefault="00512AB7" w:rsidP="00363262">
      <w:pPr>
        <w:pStyle w:val="ListParagraph"/>
        <w:numPr>
          <w:ilvl w:val="0"/>
          <w:numId w:val="16"/>
        </w:numPr>
        <w:autoSpaceDE w:val="0"/>
        <w:autoSpaceDN w:val="0"/>
        <w:adjustRightInd w:val="0"/>
        <w:spacing w:after="0" w:line="240" w:lineRule="auto"/>
        <w:rPr>
          <w:rFonts w:ascii="Calibri" w:hAnsi="Calibri" w:cs="Calibri"/>
        </w:rPr>
      </w:pPr>
      <w:r>
        <w:rPr>
          <w:rFonts w:ascii="Calibri" w:hAnsi="Calibri" w:cs="Calibri"/>
        </w:rPr>
        <w:t>Call</w:t>
      </w:r>
      <w:r w:rsidR="00363262" w:rsidRPr="00363262">
        <w:rPr>
          <w:rFonts w:ascii="Calibri" w:hAnsi="Calibri" w:cs="Calibri"/>
        </w:rPr>
        <w:t xml:space="preserve"> recording</w:t>
      </w:r>
      <w:r w:rsidR="00363262">
        <w:rPr>
          <w:rFonts w:ascii="Calibri" w:hAnsi="Calibri" w:cs="Calibri"/>
        </w:rPr>
        <w:t xml:space="preserve"> </w:t>
      </w:r>
      <w:r>
        <w:rPr>
          <w:rFonts w:ascii="Calibri" w:hAnsi="Calibri" w:cs="Calibri"/>
        </w:rPr>
        <w:t>are</w:t>
      </w:r>
      <w:r w:rsidR="00471B68">
        <w:rPr>
          <w:rFonts w:ascii="Calibri" w:hAnsi="Calibri" w:cs="Calibri"/>
        </w:rPr>
        <w:t xml:space="preserve"> </w:t>
      </w:r>
      <w:r w:rsidR="00574F99">
        <w:rPr>
          <w:rFonts w:ascii="Calibri" w:hAnsi="Calibri" w:cs="Calibri"/>
        </w:rPr>
        <w:t>265</w:t>
      </w:r>
      <w:r w:rsidR="00363262" w:rsidRPr="00363262">
        <w:rPr>
          <w:rFonts w:ascii="Calibri" w:hAnsi="Calibri" w:cs="Calibri"/>
        </w:rPr>
        <w:t>bit encrypted and provide secure user password protected logon access control. Recordings</w:t>
      </w:r>
      <w:r w:rsidR="00363262">
        <w:rPr>
          <w:rFonts w:ascii="Calibri" w:hAnsi="Calibri" w:cs="Calibri"/>
        </w:rPr>
        <w:t xml:space="preserve"> </w:t>
      </w:r>
      <w:r w:rsidR="00363262" w:rsidRPr="00363262">
        <w:rPr>
          <w:rFonts w:ascii="Calibri" w:hAnsi="Calibri" w:cs="Calibri"/>
        </w:rPr>
        <w:t xml:space="preserve">can be quickly located using multiple search criteria to ensure </w:t>
      </w:r>
      <w:r w:rsidR="00202779">
        <w:rPr>
          <w:rFonts w:ascii="Calibri" w:hAnsi="Calibri" w:cs="Calibri"/>
        </w:rPr>
        <w:t>UK GDPR</w:t>
      </w:r>
      <w:r w:rsidR="00363262" w:rsidRPr="00363262">
        <w:rPr>
          <w:rFonts w:ascii="Calibri" w:hAnsi="Calibri" w:cs="Calibri"/>
        </w:rPr>
        <w:t xml:space="preserve"> requirements for Right to</w:t>
      </w:r>
      <w:r w:rsidR="00363262">
        <w:rPr>
          <w:rFonts w:ascii="Calibri" w:hAnsi="Calibri" w:cs="Calibri"/>
        </w:rPr>
        <w:t xml:space="preserve"> </w:t>
      </w:r>
      <w:r w:rsidR="00363262" w:rsidRPr="00363262">
        <w:rPr>
          <w:rFonts w:ascii="Calibri" w:hAnsi="Calibri" w:cs="Calibri"/>
        </w:rPr>
        <w:t xml:space="preserve">Access, </w:t>
      </w:r>
      <w:proofErr w:type="gramStart"/>
      <w:r w:rsidR="00363262" w:rsidRPr="00363262">
        <w:rPr>
          <w:rFonts w:ascii="Calibri" w:hAnsi="Calibri" w:cs="Calibri"/>
        </w:rPr>
        <w:t>Right</w:t>
      </w:r>
      <w:proofErr w:type="gramEnd"/>
      <w:r w:rsidR="00363262" w:rsidRPr="00363262">
        <w:rPr>
          <w:rFonts w:ascii="Calibri" w:hAnsi="Calibri" w:cs="Calibri"/>
        </w:rPr>
        <w:t xml:space="preserve"> to be Forgotten and Data P</w:t>
      </w:r>
      <w:r w:rsidR="00363262">
        <w:rPr>
          <w:rFonts w:ascii="Calibri" w:hAnsi="Calibri" w:cs="Calibri"/>
        </w:rPr>
        <w:t>ortability can be complied with</w:t>
      </w:r>
    </w:p>
    <w:p w14:paraId="47FAF40F" w14:textId="77777777" w:rsidR="00363262" w:rsidRPr="00363262" w:rsidRDefault="00363262" w:rsidP="00363262">
      <w:pPr>
        <w:pStyle w:val="ListParagraph"/>
        <w:autoSpaceDE w:val="0"/>
        <w:autoSpaceDN w:val="0"/>
        <w:adjustRightInd w:val="0"/>
        <w:spacing w:after="0" w:line="240" w:lineRule="auto"/>
        <w:ind w:left="1080"/>
        <w:rPr>
          <w:rFonts w:ascii="Calibri" w:hAnsi="Calibri" w:cs="Calibri"/>
        </w:rPr>
      </w:pPr>
    </w:p>
    <w:p w14:paraId="0171CEE7" w14:textId="77777777" w:rsidR="00363262" w:rsidRDefault="00363262" w:rsidP="00363262">
      <w:pPr>
        <w:autoSpaceDE w:val="0"/>
        <w:autoSpaceDN w:val="0"/>
        <w:adjustRightInd w:val="0"/>
        <w:spacing w:after="0" w:line="240" w:lineRule="auto"/>
        <w:ind w:left="426"/>
        <w:rPr>
          <w:rFonts w:ascii="Calibri" w:hAnsi="Calibri" w:cs="Calibri"/>
        </w:rPr>
      </w:pPr>
      <w:r w:rsidRPr="00363262">
        <w:rPr>
          <w:rFonts w:ascii="Calibri" w:hAnsi="Calibri" w:cs="Calibri"/>
        </w:rPr>
        <w:t>Infringement of this</w:t>
      </w:r>
      <w:r w:rsidR="00512AB7">
        <w:rPr>
          <w:rFonts w:ascii="Calibri" w:hAnsi="Calibri" w:cs="Calibri"/>
        </w:rPr>
        <w:t xml:space="preserve"> Policy could expose the Practice</w:t>
      </w:r>
      <w:r w:rsidRPr="00363262">
        <w:rPr>
          <w:rFonts w:ascii="Calibri" w:hAnsi="Calibri" w:cs="Calibri"/>
        </w:rPr>
        <w:t xml:space="preserve"> to data breaches and subsequent fines or</w:t>
      </w:r>
      <w:r>
        <w:rPr>
          <w:rFonts w:ascii="Calibri" w:hAnsi="Calibri" w:cs="Calibri"/>
        </w:rPr>
        <w:t xml:space="preserve"> </w:t>
      </w:r>
      <w:r w:rsidRPr="00363262">
        <w:rPr>
          <w:rFonts w:ascii="Calibri" w:hAnsi="Calibri" w:cs="Calibri"/>
        </w:rPr>
        <w:t>substantial compensation.</w:t>
      </w:r>
    </w:p>
    <w:p w14:paraId="061B20CE" w14:textId="77777777" w:rsidR="00363262" w:rsidRDefault="00363262" w:rsidP="00363262">
      <w:pPr>
        <w:autoSpaceDE w:val="0"/>
        <w:autoSpaceDN w:val="0"/>
        <w:adjustRightInd w:val="0"/>
        <w:spacing w:after="0" w:line="240" w:lineRule="auto"/>
        <w:rPr>
          <w:rFonts w:ascii="Calibri" w:hAnsi="Calibri" w:cs="Calibri"/>
        </w:rPr>
      </w:pPr>
    </w:p>
    <w:p w14:paraId="59C62ABE" w14:textId="77777777" w:rsidR="00363262" w:rsidRPr="00226A45" w:rsidRDefault="00363262" w:rsidP="00226A45">
      <w:pPr>
        <w:autoSpaceDE w:val="0"/>
        <w:autoSpaceDN w:val="0"/>
        <w:adjustRightInd w:val="0"/>
        <w:spacing w:after="0" w:line="240" w:lineRule="auto"/>
        <w:ind w:left="426"/>
        <w:rPr>
          <w:rFonts w:ascii="Calibri" w:hAnsi="Calibri" w:cs="Calibri"/>
        </w:rPr>
      </w:pPr>
      <w:r w:rsidRPr="00363262">
        <w:rPr>
          <w:rFonts w:ascii="Calibri" w:hAnsi="Calibri" w:cs="Calibri"/>
        </w:rPr>
        <w:t xml:space="preserve">Any infringement of this Policy is considered by the </w:t>
      </w:r>
      <w:r w:rsidR="00512AB7">
        <w:rPr>
          <w:rFonts w:ascii="Calibri" w:hAnsi="Calibri" w:cs="Calibri"/>
        </w:rPr>
        <w:t>Practice</w:t>
      </w:r>
      <w:r w:rsidRPr="00363262">
        <w:rPr>
          <w:rFonts w:ascii="Calibri" w:hAnsi="Calibri" w:cs="Calibri"/>
        </w:rPr>
        <w:t xml:space="preserve"> to be a serious offence and may result</w:t>
      </w:r>
      <w:r>
        <w:rPr>
          <w:rFonts w:ascii="Calibri" w:hAnsi="Calibri" w:cs="Calibri"/>
        </w:rPr>
        <w:t xml:space="preserve"> </w:t>
      </w:r>
      <w:r w:rsidRPr="00363262">
        <w:rPr>
          <w:rFonts w:ascii="Calibri" w:hAnsi="Calibri" w:cs="Calibri"/>
        </w:rPr>
        <w:t>in disciplinary action. In the event that any member of staff feels he/she has accidentally breached</w:t>
      </w:r>
      <w:r>
        <w:rPr>
          <w:rFonts w:ascii="Calibri" w:hAnsi="Calibri" w:cs="Calibri"/>
        </w:rPr>
        <w:t xml:space="preserve"> </w:t>
      </w:r>
      <w:r w:rsidRPr="00363262">
        <w:rPr>
          <w:rFonts w:ascii="Calibri" w:hAnsi="Calibri" w:cs="Calibri"/>
        </w:rPr>
        <w:t>the above policy will be required to inform their line manager immediately.</w:t>
      </w:r>
    </w:p>
    <w:sectPr w:rsidR="00363262" w:rsidRPr="00226A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207A5" w14:textId="77777777" w:rsidR="003F0F3D" w:rsidRDefault="003F0F3D" w:rsidP="0002234A">
      <w:pPr>
        <w:spacing w:after="0" w:line="240" w:lineRule="auto"/>
      </w:pPr>
      <w:r>
        <w:separator/>
      </w:r>
    </w:p>
  </w:endnote>
  <w:endnote w:type="continuationSeparator" w:id="0">
    <w:p w14:paraId="7499B477" w14:textId="77777777" w:rsidR="003F0F3D" w:rsidRDefault="003F0F3D" w:rsidP="00022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772C4" w14:textId="77777777" w:rsidR="003F0F3D" w:rsidRDefault="003F0F3D" w:rsidP="0002234A">
      <w:pPr>
        <w:spacing w:after="0" w:line="240" w:lineRule="auto"/>
      </w:pPr>
      <w:r>
        <w:separator/>
      </w:r>
    </w:p>
  </w:footnote>
  <w:footnote w:type="continuationSeparator" w:id="0">
    <w:p w14:paraId="294C8000" w14:textId="77777777" w:rsidR="003F0F3D" w:rsidRDefault="003F0F3D" w:rsidP="000223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2E0D"/>
    <w:multiLevelType w:val="hybridMultilevel"/>
    <w:tmpl w:val="DCE243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377208"/>
    <w:multiLevelType w:val="hybridMultilevel"/>
    <w:tmpl w:val="E95CE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C46F9"/>
    <w:multiLevelType w:val="hybridMultilevel"/>
    <w:tmpl w:val="E0F4AA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739719C"/>
    <w:multiLevelType w:val="multilevel"/>
    <w:tmpl w:val="645E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F61FDB"/>
    <w:multiLevelType w:val="hybridMultilevel"/>
    <w:tmpl w:val="758E626A"/>
    <w:lvl w:ilvl="0" w:tplc="1C0094DE">
      <w:start w:val="1"/>
      <w:numFmt w:val="bullet"/>
      <w:lvlText w:val="•"/>
      <w:lvlJc w:val="left"/>
      <w:pPr>
        <w:tabs>
          <w:tab w:val="num" w:pos="720"/>
        </w:tabs>
        <w:ind w:left="720" w:hanging="360"/>
      </w:pPr>
      <w:rPr>
        <w:rFonts w:ascii="Arial" w:hAnsi="Arial" w:hint="default"/>
      </w:rPr>
    </w:lvl>
    <w:lvl w:ilvl="1" w:tplc="986C1664" w:tentative="1">
      <w:start w:val="1"/>
      <w:numFmt w:val="bullet"/>
      <w:lvlText w:val="•"/>
      <w:lvlJc w:val="left"/>
      <w:pPr>
        <w:tabs>
          <w:tab w:val="num" w:pos="1440"/>
        </w:tabs>
        <w:ind w:left="1440" w:hanging="360"/>
      </w:pPr>
      <w:rPr>
        <w:rFonts w:ascii="Arial" w:hAnsi="Arial" w:hint="default"/>
      </w:rPr>
    </w:lvl>
    <w:lvl w:ilvl="2" w:tplc="803E3BB2" w:tentative="1">
      <w:start w:val="1"/>
      <w:numFmt w:val="bullet"/>
      <w:lvlText w:val="•"/>
      <w:lvlJc w:val="left"/>
      <w:pPr>
        <w:tabs>
          <w:tab w:val="num" w:pos="2160"/>
        </w:tabs>
        <w:ind w:left="2160" w:hanging="360"/>
      </w:pPr>
      <w:rPr>
        <w:rFonts w:ascii="Arial" w:hAnsi="Arial" w:hint="default"/>
      </w:rPr>
    </w:lvl>
    <w:lvl w:ilvl="3" w:tplc="6FC0839C" w:tentative="1">
      <w:start w:val="1"/>
      <w:numFmt w:val="bullet"/>
      <w:lvlText w:val="•"/>
      <w:lvlJc w:val="left"/>
      <w:pPr>
        <w:tabs>
          <w:tab w:val="num" w:pos="2880"/>
        </w:tabs>
        <w:ind w:left="2880" w:hanging="360"/>
      </w:pPr>
      <w:rPr>
        <w:rFonts w:ascii="Arial" w:hAnsi="Arial" w:hint="default"/>
      </w:rPr>
    </w:lvl>
    <w:lvl w:ilvl="4" w:tplc="62049312" w:tentative="1">
      <w:start w:val="1"/>
      <w:numFmt w:val="bullet"/>
      <w:lvlText w:val="•"/>
      <w:lvlJc w:val="left"/>
      <w:pPr>
        <w:tabs>
          <w:tab w:val="num" w:pos="3600"/>
        </w:tabs>
        <w:ind w:left="3600" w:hanging="360"/>
      </w:pPr>
      <w:rPr>
        <w:rFonts w:ascii="Arial" w:hAnsi="Arial" w:hint="default"/>
      </w:rPr>
    </w:lvl>
    <w:lvl w:ilvl="5" w:tplc="B526ED32" w:tentative="1">
      <w:start w:val="1"/>
      <w:numFmt w:val="bullet"/>
      <w:lvlText w:val="•"/>
      <w:lvlJc w:val="left"/>
      <w:pPr>
        <w:tabs>
          <w:tab w:val="num" w:pos="4320"/>
        </w:tabs>
        <w:ind w:left="4320" w:hanging="360"/>
      </w:pPr>
      <w:rPr>
        <w:rFonts w:ascii="Arial" w:hAnsi="Arial" w:hint="default"/>
      </w:rPr>
    </w:lvl>
    <w:lvl w:ilvl="6" w:tplc="3468DF40" w:tentative="1">
      <w:start w:val="1"/>
      <w:numFmt w:val="bullet"/>
      <w:lvlText w:val="•"/>
      <w:lvlJc w:val="left"/>
      <w:pPr>
        <w:tabs>
          <w:tab w:val="num" w:pos="5040"/>
        </w:tabs>
        <w:ind w:left="5040" w:hanging="360"/>
      </w:pPr>
      <w:rPr>
        <w:rFonts w:ascii="Arial" w:hAnsi="Arial" w:hint="default"/>
      </w:rPr>
    </w:lvl>
    <w:lvl w:ilvl="7" w:tplc="5CE6528A" w:tentative="1">
      <w:start w:val="1"/>
      <w:numFmt w:val="bullet"/>
      <w:lvlText w:val="•"/>
      <w:lvlJc w:val="left"/>
      <w:pPr>
        <w:tabs>
          <w:tab w:val="num" w:pos="5760"/>
        </w:tabs>
        <w:ind w:left="5760" w:hanging="360"/>
      </w:pPr>
      <w:rPr>
        <w:rFonts w:ascii="Arial" w:hAnsi="Arial" w:hint="default"/>
      </w:rPr>
    </w:lvl>
    <w:lvl w:ilvl="8" w:tplc="123282B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ED377A9"/>
    <w:multiLevelType w:val="hybridMultilevel"/>
    <w:tmpl w:val="B45CC6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0BB0BC5"/>
    <w:multiLevelType w:val="hybridMultilevel"/>
    <w:tmpl w:val="5CC20AA6"/>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7" w15:restartNumberingAfterBreak="0">
    <w:nsid w:val="49B31F25"/>
    <w:multiLevelType w:val="hybridMultilevel"/>
    <w:tmpl w:val="312A9E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FA0785A"/>
    <w:multiLevelType w:val="hybridMultilevel"/>
    <w:tmpl w:val="DDE2C26A"/>
    <w:lvl w:ilvl="0" w:tplc="E3D4E678">
      <w:start w:val="1"/>
      <w:numFmt w:val="bullet"/>
      <w:lvlText w:val="•"/>
      <w:lvlJc w:val="left"/>
      <w:pPr>
        <w:tabs>
          <w:tab w:val="num" w:pos="720"/>
        </w:tabs>
        <w:ind w:left="720" w:hanging="360"/>
      </w:pPr>
      <w:rPr>
        <w:rFonts w:ascii="Arial" w:hAnsi="Arial" w:hint="default"/>
      </w:rPr>
    </w:lvl>
    <w:lvl w:ilvl="1" w:tplc="101A1FD2" w:tentative="1">
      <w:start w:val="1"/>
      <w:numFmt w:val="bullet"/>
      <w:lvlText w:val="•"/>
      <w:lvlJc w:val="left"/>
      <w:pPr>
        <w:tabs>
          <w:tab w:val="num" w:pos="1440"/>
        </w:tabs>
        <w:ind w:left="1440" w:hanging="360"/>
      </w:pPr>
      <w:rPr>
        <w:rFonts w:ascii="Arial" w:hAnsi="Arial" w:hint="default"/>
      </w:rPr>
    </w:lvl>
    <w:lvl w:ilvl="2" w:tplc="173E0BB4" w:tentative="1">
      <w:start w:val="1"/>
      <w:numFmt w:val="bullet"/>
      <w:lvlText w:val="•"/>
      <w:lvlJc w:val="left"/>
      <w:pPr>
        <w:tabs>
          <w:tab w:val="num" w:pos="2160"/>
        </w:tabs>
        <w:ind w:left="2160" w:hanging="360"/>
      </w:pPr>
      <w:rPr>
        <w:rFonts w:ascii="Arial" w:hAnsi="Arial" w:hint="default"/>
      </w:rPr>
    </w:lvl>
    <w:lvl w:ilvl="3" w:tplc="3E86088E" w:tentative="1">
      <w:start w:val="1"/>
      <w:numFmt w:val="bullet"/>
      <w:lvlText w:val="•"/>
      <w:lvlJc w:val="left"/>
      <w:pPr>
        <w:tabs>
          <w:tab w:val="num" w:pos="2880"/>
        </w:tabs>
        <w:ind w:left="2880" w:hanging="360"/>
      </w:pPr>
      <w:rPr>
        <w:rFonts w:ascii="Arial" w:hAnsi="Arial" w:hint="default"/>
      </w:rPr>
    </w:lvl>
    <w:lvl w:ilvl="4" w:tplc="8B56DC42" w:tentative="1">
      <w:start w:val="1"/>
      <w:numFmt w:val="bullet"/>
      <w:lvlText w:val="•"/>
      <w:lvlJc w:val="left"/>
      <w:pPr>
        <w:tabs>
          <w:tab w:val="num" w:pos="3600"/>
        </w:tabs>
        <w:ind w:left="3600" w:hanging="360"/>
      </w:pPr>
      <w:rPr>
        <w:rFonts w:ascii="Arial" w:hAnsi="Arial" w:hint="default"/>
      </w:rPr>
    </w:lvl>
    <w:lvl w:ilvl="5" w:tplc="5D6C93A6" w:tentative="1">
      <w:start w:val="1"/>
      <w:numFmt w:val="bullet"/>
      <w:lvlText w:val="•"/>
      <w:lvlJc w:val="left"/>
      <w:pPr>
        <w:tabs>
          <w:tab w:val="num" w:pos="4320"/>
        </w:tabs>
        <w:ind w:left="4320" w:hanging="360"/>
      </w:pPr>
      <w:rPr>
        <w:rFonts w:ascii="Arial" w:hAnsi="Arial" w:hint="default"/>
      </w:rPr>
    </w:lvl>
    <w:lvl w:ilvl="6" w:tplc="D0561F7C" w:tentative="1">
      <w:start w:val="1"/>
      <w:numFmt w:val="bullet"/>
      <w:lvlText w:val="•"/>
      <w:lvlJc w:val="left"/>
      <w:pPr>
        <w:tabs>
          <w:tab w:val="num" w:pos="5040"/>
        </w:tabs>
        <w:ind w:left="5040" w:hanging="360"/>
      </w:pPr>
      <w:rPr>
        <w:rFonts w:ascii="Arial" w:hAnsi="Arial" w:hint="default"/>
      </w:rPr>
    </w:lvl>
    <w:lvl w:ilvl="7" w:tplc="3F3E775C" w:tentative="1">
      <w:start w:val="1"/>
      <w:numFmt w:val="bullet"/>
      <w:lvlText w:val="•"/>
      <w:lvlJc w:val="left"/>
      <w:pPr>
        <w:tabs>
          <w:tab w:val="num" w:pos="5760"/>
        </w:tabs>
        <w:ind w:left="5760" w:hanging="360"/>
      </w:pPr>
      <w:rPr>
        <w:rFonts w:ascii="Arial" w:hAnsi="Arial" w:hint="default"/>
      </w:rPr>
    </w:lvl>
    <w:lvl w:ilvl="8" w:tplc="7EBED24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26370BE"/>
    <w:multiLevelType w:val="hybridMultilevel"/>
    <w:tmpl w:val="F0EE99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E856BF"/>
    <w:multiLevelType w:val="hybridMultilevel"/>
    <w:tmpl w:val="330EE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5A7856"/>
    <w:multiLevelType w:val="hybridMultilevel"/>
    <w:tmpl w:val="54F0EF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EF3A55"/>
    <w:multiLevelType w:val="hybridMultilevel"/>
    <w:tmpl w:val="02ACE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B239EF"/>
    <w:multiLevelType w:val="hybridMultilevel"/>
    <w:tmpl w:val="AA0279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25E772B"/>
    <w:multiLevelType w:val="hybridMultilevel"/>
    <w:tmpl w:val="141015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63B4373B"/>
    <w:multiLevelType w:val="hybridMultilevel"/>
    <w:tmpl w:val="5492D2B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A433E3A"/>
    <w:multiLevelType w:val="hybridMultilevel"/>
    <w:tmpl w:val="D2E64D2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D9B04AA"/>
    <w:multiLevelType w:val="multilevel"/>
    <w:tmpl w:val="61021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1240152">
    <w:abstractNumId w:val="9"/>
  </w:num>
  <w:num w:numId="2" w16cid:durableId="231552488">
    <w:abstractNumId w:val="8"/>
  </w:num>
  <w:num w:numId="3" w16cid:durableId="1747804730">
    <w:abstractNumId w:val="4"/>
  </w:num>
  <w:num w:numId="4" w16cid:durableId="2095393732">
    <w:abstractNumId w:val="7"/>
  </w:num>
  <w:num w:numId="5" w16cid:durableId="1456874646">
    <w:abstractNumId w:val="12"/>
  </w:num>
  <w:num w:numId="6" w16cid:durableId="1331560586">
    <w:abstractNumId w:val="0"/>
  </w:num>
  <w:num w:numId="7" w16cid:durableId="1691491571">
    <w:abstractNumId w:val="10"/>
  </w:num>
  <w:num w:numId="8" w16cid:durableId="1410882331">
    <w:abstractNumId w:val="15"/>
  </w:num>
  <w:num w:numId="9" w16cid:durableId="1886602047">
    <w:abstractNumId w:val="1"/>
  </w:num>
  <w:num w:numId="10" w16cid:durableId="779836704">
    <w:abstractNumId w:val="3"/>
  </w:num>
  <w:num w:numId="11" w16cid:durableId="967466585">
    <w:abstractNumId w:val="17"/>
  </w:num>
  <w:num w:numId="12" w16cid:durableId="353850979">
    <w:abstractNumId w:val="11"/>
  </w:num>
  <w:num w:numId="13" w16cid:durableId="1394088345">
    <w:abstractNumId w:val="13"/>
  </w:num>
  <w:num w:numId="14" w16cid:durableId="533153946">
    <w:abstractNumId w:val="5"/>
  </w:num>
  <w:num w:numId="15" w16cid:durableId="607591595">
    <w:abstractNumId w:val="6"/>
  </w:num>
  <w:num w:numId="16" w16cid:durableId="16583414">
    <w:abstractNumId w:val="16"/>
  </w:num>
  <w:num w:numId="17" w16cid:durableId="482280861">
    <w:abstractNumId w:val="2"/>
  </w:num>
  <w:num w:numId="18" w16cid:durableId="20800506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0NDM3NbOwNDEztDBS0lEKTi0uzszPAykwrAUABsnZXCwAAAA="/>
  </w:docVars>
  <w:rsids>
    <w:rsidRoot w:val="003A40BA"/>
    <w:rsid w:val="0002164C"/>
    <w:rsid w:val="0002234A"/>
    <w:rsid w:val="00031DE3"/>
    <w:rsid w:val="00036EC6"/>
    <w:rsid w:val="00053EAF"/>
    <w:rsid w:val="00074440"/>
    <w:rsid w:val="00077F98"/>
    <w:rsid w:val="00085AEA"/>
    <w:rsid w:val="000A24B9"/>
    <w:rsid w:val="000C5530"/>
    <w:rsid w:val="000C5BDB"/>
    <w:rsid w:val="00127C8F"/>
    <w:rsid w:val="0017593B"/>
    <w:rsid w:val="001B2A12"/>
    <w:rsid w:val="001C4B42"/>
    <w:rsid w:val="001E536D"/>
    <w:rsid w:val="00200D60"/>
    <w:rsid w:val="00202779"/>
    <w:rsid w:val="0020511B"/>
    <w:rsid w:val="00226A45"/>
    <w:rsid w:val="002367ED"/>
    <w:rsid w:val="00260453"/>
    <w:rsid w:val="00261E6E"/>
    <w:rsid w:val="002C5813"/>
    <w:rsid w:val="00302EB6"/>
    <w:rsid w:val="00321B5B"/>
    <w:rsid w:val="00363262"/>
    <w:rsid w:val="00366D33"/>
    <w:rsid w:val="00385C19"/>
    <w:rsid w:val="003978DA"/>
    <w:rsid w:val="003A40BA"/>
    <w:rsid w:val="003C0CBE"/>
    <w:rsid w:val="003E0BC6"/>
    <w:rsid w:val="003F0F3D"/>
    <w:rsid w:val="004713E0"/>
    <w:rsid w:val="00471B68"/>
    <w:rsid w:val="004A4B0C"/>
    <w:rsid w:val="00512AB7"/>
    <w:rsid w:val="00514AC2"/>
    <w:rsid w:val="00574F99"/>
    <w:rsid w:val="006046C8"/>
    <w:rsid w:val="006200B5"/>
    <w:rsid w:val="006966CB"/>
    <w:rsid w:val="00702E1B"/>
    <w:rsid w:val="00713762"/>
    <w:rsid w:val="0072365B"/>
    <w:rsid w:val="00726663"/>
    <w:rsid w:val="007311BD"/>
    <w:rsid w:val="007379A9"/>
    <w:rsid w:val="007742D3"/>
    <w:rsid w:val="007769B5"/>
    <w:rsid w:val="007D48CE"/>
    <w:rsid w:val="007E7DE9"/>
    <w:rsid w:val="007F3274"/>
    <w:rsid w:val="008157CD"/>
    <w:rsid w:val="00837AB3"/>
    <w:rsid w:val="00897761"/>
    <w:rsid w:val="008E0154"/>
    <w:rsid w:val="0090515F"/>
    <w:rsid w:val="00990578"/>
    <w:rsid w:val="0099235F"/>
    <w:rsid w:val="009A5F37"/>
    <w:rsid w:val="009B2248"/>
    <w:rsid w:val="009B7C15"/>
    <w:rsid w:val="009E5578"/>
    <w:rsid w:val="00A16053"/>
    <w:rsid w:val="00A21F46"/>
    <w:rsid w:val="00A30C14"/>
    <w:rsid w:val="00A97473"/>
    <w:rsid w:val="00AF4273"/>
    <w:rsid w:val="00B10258"/>
    <w:rsid w:val="00B22D6F"/>
    <w:rsid w:val="00B41399"/>
    <w:rsid w:val="00B850CA"/>
    <w:rsid w:val="00BA5162"/>
    <w:rsid w:val="00BB1919"/>
    <w:rsid w:val="00BB3065"/>
    <w:rsid w:val="00BC2322"/>
    <w:rsid w:val="00BC5D23"/>
    <w:rsid w:val="00C12988"/>
    <w:rsid w:val="00C25B22"/>
    <w:rsid w:val="00C423BD"/>
    <w:rsid w:val="00C7015F"/>
    <w:rsid w:val="00C81D03"/>
    <w:rsid w:val="00CD23CE"/>
    <w:rsid w:val="00CE0506"/>
    <w:rsid w:val="00D02B0D"/>
    <w:rsid w:val="00D17839"/>
    <w:rsid w:val="00D236EB"/>
    <w:rsid w:val="00D56DA3"/>
    <w:rsid w:val="00DE7B61"/>
    <w:rsid w:val="00DE7B8C"/>
    <w:rsid w:val="00DF32FC"/>
    <w:rsid w:val="00E044EF"/>
    <w:rsid w:val="00E96614"/>
    <w:rsid w:val="00EB3C8F"/>
    <w:rsid w:val="00EC450B"/>
    <w:rsid w:val="00F02629"/>
    <w:rsid w:val="00F550DA"/>
    <w:rsid w:val="00F641FF"/>
    <w:rsid w:val="00FA489E"/>
    <w:rsid w:val="00FB0303"/>
    <w:rsid w:val="00FB0912"/>
    <w:rsid w:val="00FB3898"/>
    <w:rsid w:val="00FB58F4"/>
    <w:rsid w:val="00FE3C86"/>
    <w:rsid w:val="00FF21D7"/>
    <w:rsid w:val="00FF5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80466"/>
  <w15:docId w15:val="{AFB68D9E-2A17-414B-BB18-70AF1FC0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0BA"/>
    <w:pPr>
      <w:ind w:left="720"/>
      <w:contextualSpacing/>
    </w:pPr>
  </w:style>
  <w:style w:type="paragraph" w:styleId="NormalWeb">
    <w:name w:val="Normal (Web)"/>
    <w:basedOn w:val="Normal"/>
    <w:uiPriority w:val="99"/>
    <w:unhideWhenUsed/>
    <w:rsid w:val="00031D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F5A4E"/>
    <w:rPr>
      <w:b/>
      <w:bCs/>
    </w:rPr>
  </w:style>
  <w:style w:type="paragraph" w:styleId="BalloonText">
    <w:name w:val="Balloon Text"/>
    <w:basedOn w:val="Normal"/>
    <w:link w:val="BalloonTextChar"/>
    <w:uiPriority w:val="99"/>
    <w:semiHidden/>
    <w:unhideWhenUsed/>
    <w:rsid w:val="00366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D33"/>
    <w:rPr>
      <w:rFonts w:ascii="Tahoma" w:hAnsi="Tahoma" w:cs="Tahoma"/>
      <w:sz w:val="16"/>
      <w:szCs w:val="16"/>
    </w:rPr>
  </w:style>
  <w:style w:type="paragraph" w:styleId="Header">
    <w:name w:val="header"/>
    <w:basedOn w:val="Normal"/>
    <w:link w:val="HeaderChar"/>
    <w:uiPriority w:val="99"/>
    <w:unhideWhenUsed/>
    <w:rsid w:val="00022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34A"/>
  </w:style>
  <w:style w:type="paragraph" w:styleId="Footer">
    <w:name w:val="footer"/>
    <w:basedOn w:val="Normal"/>
    <w:link w:val="FooterChar"/>
    <w:uiPriority w:val="99"/>
    <w:unhideWhenUsed/>
    <w:rsid w:val="00022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34A"/>
  </w:style>
  <w:style w:type="character" w:styleId="Hyperlink">
    <w:name w:val="Hyperlink"/>
    <w:basedOn w:val="DefaultParagraphFont"/>
    <w:uiPriority w:val="99"/>
    <w:unhideWhenUsed/>
    <w:rsid w:val="00363262"/>
    <w:rPr>
      <w:color w:val="0000FF" w:themeColor="hyperlink"/>
      <w:u w:val="single"/>
    </w:rPr>
  </w:style>
  <w:style w:type="paragraph" w:styleId="BodyText">
    <w:name w:val="Body Text"/>
    <w:basedOn w:val="Normal"/>
    <w:link w:val="BodyTextChar"/>
    <w:uiPriority w:val="1"/>
    <w:qFormat/>
    <w:rsid w:val="00BA5162"/>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BA5162"/>
    <w:rPr>
      <w:rFonts w:ascii="Arial" w:eastAsia="Arial" w:hAnsi="Arial" w:cs="Arial"/>
      <w:sz w:val="24"/>
      <w:szCs w:val="24"/>
      <w:lang w:val="en-US"/>
    </w:rPr>
  </w:style>
  <w:style w:type="table" w:styleId="TableGrid">
    <w:name w:val="Table Grid"/>
    <w:basedOn w:val="TableNormal"/>
    <w:uiPriority w:val="39"/>
    <w:unhideWhenUsed/>
    <w:rsid w:val="00BA516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640566">
      <w:bodyDiv w:val="1"/>
      <w:marLeft w:val="0"/>
      <w:marRight w:val="0"/>
      <w:marTop w:val="0"/>
      <w:marBottom w:val="0"/>
      <w:divBdr>
        <w:top w:val="none" w:sz="0" w:space="0" w:color="auto"/>
        <w:left w:val="none" w:sz="0" w:space="0" w:color="auto"/>
        <w:bottom w:val="none" w:sz="0" w:space="0" w:color="auto"/>
        <w:right w:val="none" w:sz="0" w:space="0" w:color="auto"/>
      </w:divBdr>
      <w:divsChild>
        <w:div w:id="798693241">
          <w:marLeft w:val="274"/>
          <w:marRight w:val="0"/>
          <w:marTop w:val="0"/>
          <w:marBottom w:val="0"/>
          <w:divBdr>
            <w:top w:val="none" w:sz="0" w:space="0" w:color="auto"/>
            <w:left w:val="none" w:sz="0" w:space="0" w:color="auto"/>
            <w:bottom w:val="none" w:sz="0" w:space="0" w:color="auto"/>
            <w:right w:val="none" w:sz="0" w:space="0" w:color="auto"/>
          </w:divBdr>
        </w:div>
        <w:div w:id="1468816834">
          <w:marLeft w:val="274"/>
          <w:marRight w:val="0"/>
          <w:marTop w:val="0"/>
          <w:marBottom w:val="0"/>
          <w:divBdr>
            <w:top w:val="none" w:sz="0" w:space="0" w:color="auto"/>
            <w:left w:val="none" w:sz="0" w:space="0" w:color="auto"/>
            <w:bottom w:val="none" w:sz="0" w:space="0" w:color="auto"/>
            <w:right w:val="none" w:sz="0" w:space="0" w:color="auto"/>
          </w:divBdr>
        </w:div>
        <w:div w:id="278147261">
          <w:marLeft w:val="274"/>
          <w:marRight w:val="0"/>
          <w:marTop w:val="0"/>
          <w:marBottom w:val="0"/>
          <w:divBdr>
            <w:top w:val="none" w:sz="0" w:space="0" w:color="auto"/>
            <w:left w:val="none" w:sz="0" w:space="0" w:color="auto"/>
            <w:bottom w:val="none" w:sz="0" w:space="0" w:color="auto"/>
            <w:right w:val="none" w:sz="0" w:space="0" w:color="auto"/>
          </w:divBdr>
        </w:div>
        <w:div w:id="1347437237">
          <w:marLeft w:val="274"/>
          <w:marRight w:val="0"/>
          <w:marTop w:val="0"/>
          <w:marBottom w:val="0"/>
          <w:divBdr>
            <w:top w:val="none" w:sz="0" w:space="0" w:color="auto"/>
            <w:left w:val="none" w:sz="0" w:space="0" w:color="auto"/>
            <w:bottom w:val="none" w:sz="0" w:space="0" w:color="auto"/>
            <w:right w:val="none" w:sz="0" w:space="0" w:color="auto"/>
          </w:divBdr>
        </w:div>
        <w:div w:id="822162952">
          <w:marLeft w:val="274"/>
          <w:marRight w:val="0"/>
          <w:marTop w:val="0"/>
          <w:marBottom w:val="0"/>
          <w:divBdr>
            <w:top w:val="none" w:sz="0" w:space="0" w:color="auto"/>
            <w:left w:val="none" w:sz="0" w:space="0" w:color="auto"/>
            <w:bottom w:val="none" w:sz="0" w:space="0" w:color="auto"/>
            <w:right w:val="none" w:sz="0" w:space="0" w:color="auto"/>
          </w:divBdr>
        </w:div>
      </w:divsChild>
    </w:div>
    <w:div w:id="846751238">
      <w:bodyDiv w:val="1"/>
      <w:marLeft w:val="0"/>
      <w:marRight w:val="0"/>
      <w:marTop w:val="0"/>
      <w:marBottom w:val="0"/>
      <w:divBdr>
        <w:top w:val="none" w:sz="0" w:space="0" w:color="auto"/>
        <w:left w:val="none" w:sz="0" w:space="0" w:color="auto"/>
        <w:bottom w:val="none" w:sz="0" w:space="0" w:color="auto"/>
        <w:right w:val="none" w:sz="0" w:space="0" w:color="auto"/>
      </w:divBdr>
      <w:divsChild>
        <w:div w:id="1094783362">
          <w:marLeft w:val="0"/>
          <w:marRight w:val="0"/>
          <w:marTop w:val="0"/>
          <w:marBottom w:val="0"/>
          <w:divBdr>
            <w:top w:val="none" w:sz="0" w:space="0" w:color="auto"/>
            <w:left w:val="none" w:sz="0" w:space="0" w:color="auto"/>
            <w:bottom w:val="none" w:sz="0" w:space="0" w:color="auto"/>
            <w:right w:val="none" w:sz="0" w:space="0" w:color="auto"/>
          </w:divBdr>
          <w:divsChild>
            <w:div w:id="1664384924">
              <w:marLeft w:val="-225"/>
              <w:marRight w:val="-225"/>
              <w:marTop w:val="0"/>
              <w:marBottom w:val="0"/>
              <w:divBdr>
                <w:top w:val="none" w:sz="0" w:space="0" w:color="auto"/>
                <w:left w:val="none" w:sz="0" w:space="0" w:color="auto"/>
                <w:bottom w:val="none" w:sz="0" w:space="0" w:color="auto"/>
                <w:right w:val="none" w:sz="0" w:space="0" w:color="auto"/>
              </w:divBdr>
              <w:divsChild>
                <w:div w:id="5458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9776">
      <w:bodyDiv w:val="1"/>
      <w:marLeft w:val="0"/>
      <w:marRight w:val="0"/>
      <w:marTop w:val="0"/>
      <w:marBottom w:val="0"/>
      <w:divBdr>
        <w:top w:val="none" w:sz="0" w:space="0" w:color="auto"/>
        <w:left w:val="none" w:sz="0" w:space="0" w:color="auto"/>
        <w:bottom w:val="none" w:sz="0" w:space="0" w:color="auto"/>
        <w:right w:val="none" w:sz="0" w:space="0" w:color="auto"/>
      </w:divBdr>
      <w:divsChild>
        <w:div w:id="1422870285">
          <w:marLeft w:val="0"/>
          <w:marRight w:val="0"/>
          <w:marTop w:val="0"/>
          <w:marBottom w:val="0"/>
          <w:divBdr>
            <w:top w:val="none" w:sz="0" w:space="0" w:color="auto"/>
            <w:left w:val="none" w:sz="0" w:space="0" w:color="auto"/>
            <w:bottom w:val="none" w:sz="0" w:space="0" w:color="auto"/>
            <w:right w:val="none" w:sz="0" w:space="0" w:color="auto"/>
          </w:divBdr>
          <w:divsChild>
            <w:div w:id="935788633">
              <w:marLeft w:val="-225"/>
              <w:marRight w:val="-225"/>
              <w:marTop w:val="0"/>
              <w:marBottom w:val="0"/>
              <w:divBdr>
                <w:top w:val="none" w:sz="0" w:space="0" w:color="auto"/>
                <w:left w:val="none" w:sz="0" w:space="0" w:color="auto"/>
                <w:bottom w:val="none" w:sz="0" w:space="0" w:color="auto"/>
                <w:right w:val="none" w:sz="0" w:space="0" w:color="auto"/>
              </w:divBdr>
              <w:divsChild>
                <w:div w:id="116820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95214">
      <w:bodyDiv w:val="1"/>
      <w:marLeft w:val="0"/>
      <w:marRight w:val="0"/>
      <w:marTop w:val="0"/>
      <w:marBottom w:val="0"/>
      <w:divBdr>
        <w:top w:val="none" w:sz="0" w:space="0" w:color="auto"/>
        <w:left w:val="none" w:sz="0" w:space="0" w:color="auto"/>
        <w:bottom w:val="none" w:sz="0" w:space="0" w:color="auto"/>
        <w:right w:val="none" w:sz="0" w:space="0" w:color="auto"/>
      </w:divBdr>
      <w:divsChild>
        <w:div w:id="1631400012">
          <w:marLeft w:val="0"/>
          <w:marRight w:val="0"/>
          <w:marTop w:val="0"/>
          <w:marBottom w:val="0"/>
          <w:divBdr>
            <w:top w:val="none" w:sz="0" w:space="0" w:color="auto"/>
            <w:left w:val="none" w:sz="0" w:space="0" w:color="auto"/>
            <w:bottom w:val="none" w:sz="0" w:space="0" w:color="auto"/>
            <w:right w:val="none" w:sz="0" w:space="0" w:color="auto"/>
          </w:divBdr>
          <w:divsChild>
            <w:div w:id="1133793722">
              <w:marLeft w:val="0"/>
              <w:marRight w:val="0"/>
              <w:marTop w:val="300"/>
              <w:marBottom w:val="300"/>
              <w:divBdr>
                <w:top w:val="none" w:sz="0" w:space="0" w:color="auto"/>
                <w:left w:val="none" w:sz="0" w:space="0" w:color="auto"/>
                <w:bottom w:val="none" w:sz="0" w:space="0" w:color="auto"/>
                <w:right w:val="none" w:sz="0" w:space="0" w:color="auto"/>
              </w:divBdr>
              <w:divsChild>
                <w:div w:id="126775833">
                  <w:marLeft w:val="600"/>
                  <w:marRight w:val="600"/>
                  <w:marTop w:val="600"/>
                  <w:marBottom w:val="600"/>
                  <w:divBdr>
                    <w:top w:val="none" w:sz="0" w:space="0" w:color="auto"/>
                    <w:left w:val="none" w:sz="0" w:space="0" w:color="auto"/>
                    <w:bottom w:val="none" w:sz="0" w:space="0" w:color="auto"/>
                    <w:right w:val="none" w:sz="0" w:space="0" w:color="auto"/>
                  </w:divBdr>
                  <w:divsChild>
                    <w:div w:id="1749110776">
                      <w:marLeft w:val="0"/>
                      <w:marRight w:val="0"/>
                      <w:marTop w:val="0"/>
                      <w:marBottom w:val="8"/>
                      <w:divBdr>
                        <w:top w:val="none" w:sz="0" w:space="0" w:color="auto"/>
                        <w:left w:val="none" w:sz="0" w:space="0" w:color="auto"/>
                        <w:bottom w:val="none" w:sz="0" w:space="0" w:color="auto"/>
                        <w:right w:val="none" w:sz="0" w:space="0" w:color="auto"/>
                      </w:divBdr>
                    </w:div>
                  </w:divsChild>
                </w:div>
              </w:divsChild>
            </w:div>
          </w:divsChild>
        </w:div>
      </w:divsChild>
    </w:div>
    <w:div w:id="2146389210">
      <w:bodyDiv w:val="1"/>
      <w:marLeft w:val="0"/>
      <w:marRight w:val="0"/>
      <w:marTop w:val="0"/>
      <w:marBottom w:val="0"/>
      <w:divBdr>
        <w:top w:val="none" w:sz="0" w:space="0" w:color="auto"/>
        <w:left w:val="none" w:sz="0" w:space="0" w:color="auto"/>
        <w:bottom w:val="none" w:sz="0" w:space="0" w:color="auto"/>
        <w:right w:val="none" w:sz="0" w:space="0" w:color="auto"/>
      </w:divBdr>
      <w:divsChild>
        <w:div w:id="1125195331">
          <w:marLeft w:val="0"/>
          <w:marRight w:val="0"/>
          <w:marTop w:val="0"/>
          <w:marBottom w:val="0"/>
          <w:divBdr>
            <w:top w:val="none" w:sz="0" w:space="0" w:color="auto"/>
            <w:left w:val="none" w:sz="0" w:space="0" w:color="auto"/>
            <w:bottom w:val="none" w:sz="0" w:space="0" w:color="auto"/>
            <w:right w:val="none" w:sz="0" w:space="0" w:color="auto"/>
          </w:divBdr>
          <w:divsChild>
            <w:div w:id="87239751">
              <w:marLeft w:val="-225"/>
              <w:marRight w:val="-225"/>
              <w:marTop w:val="0"/>
              <w:marBottom w:val="0"/>
              <w:divBdr>
                <w:top w:val="none" w:sz="0" w:space="0" w:color="auto"/>
                <w:left w:val="none" w:sz="0" w:space="0" w:color="auto"/>
                <w:bottom w:val="none" w:sz="0" w:space="0" w:color="auto"/>
                <w:right w:val="none" w:sz="0" w:space="0" w:color="auto"/>
              </w:divBdr>
              <w:divsChild>
                <w:div w:id="8766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8B144-C1F3-4DEA-85B7-5D2E18A48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Katy Morson</cp:lastModifiedBy>
  <cp:revision>2</cp:revision>
  <dcterms:created xsi:type="dcterms:W3CDTF">2022-05-05T07:29:00Z</dcterms:created>
  <dcterms:modified xsi:type="dcterms:W3CDTF">2022-05-05T07:29:00Z</dcterms:modified>
</cp:coreProperties>
</file>